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E66" w:rsidRDefault="00F03E66" w:rsidP="00F03E66">
      <w:pPr>
        <w:pStyle w:val="Balk2"/>
        <w:ind w:left="2329" w:right="2393"/>
        <w:jc w:val="both"/>
      </w:pPr>
      <w:r>
        <w:rPr>
          <w:spacing w:val="-2"/>
          <w:lang w:val="en-US" w:bidi="en-US"/>
        </w:rPr>
        <w:t>FOREIGN STUDENTS’ APPLICATIONS</w:t>
      </w:r>
    </w:p>
    <w:p w:rsidR="00F03E66" w:rsidRDefault="00F03E66" w:rsidP="00F03E66">
      <w:pPr>
        <w:pStyle w:val="GvdeMetni"/>
        <w:jc w:val="both"/>
        <w:rPr>
          <w:b/>
          <w:sz w:val="22"/>
        </w:rPr>
      </w:pPr>
    </w:p>
    <w:p w:rsidR="00F03E66" w:rsidRDefault="00F03E66" w:rsidP="00F03E66">
      <w:pPr>
        <w:pStyle w:val="GvdeMetni"/>
        <w:jc w:val="both"/>
        <w:rPr>
          <w:sz w:val="20"/>
        </w:rPr>
      </w:pPr>
    </w:p>
    <w:p w:rsidR="00F03E66" w:rsidRDefault="00F03E66" w:rsidP="00F03E66">
      <w:pPr>
        <w:pStyle w:val="GvdeMetni"/>
        <w:spacing w:before="4"/>
        <w:jc w:val="both"/>
        <w:rPr>
          <w:sz w:val="25"/>
        </w:rPr>
      </w:pPr>
    </w:p>
    <w:p w:rsidR="00F03E66" w:rsidRDefault="00F03E66" w:rsidP="00F03E66">
      <w:pPr>
        <w:pStyle w:val="ListeParagraf"/>
        <w:numPr>
          <w:ilvl w:val="0"/>
          <w:numId w:val="1"/>
        </w:numPr>
        <w:tabs>
          <w:tab w:val="left" w:pos="915"/>
        </w:tabs>
        <w:spacing w:before="90" w:line="480" w:lineRule="auto"/>
        <w:ind w:right="254"/>
        <w:jc w:val="both"/>
        <w:rPr>
          <w:sz w:val="24"/>
        </w:rPr>
      </w:pPr>
      <w:r>
        <w:rPr>
          <w:sz w:val="24"/>
          <w:lang w:val="en-US" w:bidi="en-US"/>
        </w:rPr>
        <w:t>Foreign nationals can apply to the programs within the quotas determined for the relevant semester.</w:t>
      </w:r>
    </w:p>
    <w:p w:rsidR="00F03E66" w:rsidRDefault="00F03E66" w:rsidP="00F03E66">
      <w:pPr>
        <w:pStyle w:val="ListeParagraf"/>
        <w:numPr>
          <w:ilvl w:val="0"/>
          <w:numId w:val="1"/>
        </w:numPr>
        <w:tabs>
          <w:tab w:val="left" w:pos="915"/>
        </w:tabs>
        <w:ind w:hanging="361"/>
        <w:jc w:val="both"/>
        <w:rPr>
          <w:sz w:val="24"/>
        </w:rPr>
      </w:pPr>
      <w:r>
        <w:rPr>
          <w:spacing w:val="-3"/>
          <w:sz w:val="24"/>
          <w:lang w:val="en-US" w:bidi="en-US"/>
        </w:rPr>
        <w:t>Application –The conditions determined for acceptance are also valid for foreign applicants.</w:t>
      </w:r>
    </w:p>
    <w:p w:rsidR="00F03E66" w:rsidRDefault="00F03E66" w:rsidP="00F03E66">
      <w:pPr>
        <w:pStyle w:val="GvdeMetni"/>
        <w:jc w:val="both"/>
      </w:pPr>
    </w:p>
    <w:p w:rsidR="00F03E66" w:rsidRPr="00126B68" w:rsidRDefault="00F03E66" w:rsidP="00F03E66">
      <w:pPr>
        <w:pStyle w:val="ListeParagraf"/>
        <w:numPr>
          <w:ilvl w:val="0"/>
          <w:numId w:val="1"/>
        </w:numPr>
        <w:tabs>
          <w:tab w:val="left" w:pos="915"/>
        </w:tabs>
        <w:spacing w:before="1" w:line="480" w:lineRule="auto"/>
        <w:ind w:right="253"/>
        <w:jc w:val="both"/>
        <w:rPr>
          <w:sz w:val="24"/>
        </w:rPr>
      </w:pPr>
      <w:r>
        <w:rPr>
          <w:sz w:val="24"/>
          <w:lang w:val="en-US" w:bidi="en-US"/>
        </w:rPr>
        <w:t xml:space="preserve">In case foreign candidates apply to the programs that teach in Turkish, for Turkish proficiency, rules set in </w:t>
      </w:r>
      <w:proofErr w:type="spellStart"/>
      <w:r>
        <w:rPr>
          <w:sz w:val="24"/>
          <w:lang w:val="en-US" w:bidi="en-US"/>
        </w:rPr>
        <w:t>Başkent</w:t>
      </w:r>
      <w:proofErr w:type="spellEnd"/>
      <w:r>
        <w:rPr>
          <w:sz w:val="24"/>
          <w:lang w:val="en-US" w:bidi="en-US"/>
        </w:rPr>
        <w:t xml:space="preserve"> University Directives for Foreign Student Candidates’ Application, Registration and Admission to Graduate Programs are valid.</w:t>
      </w:r>
    </w:p>
    <w:p w:rsidR="00F03E66" w:rsidRPr="00126B68" w:rsidRDefault="00F03E66" w:rsidP="00F03E66">
      <w:pPr>
        <w:pStyle w:val="ListeParagraf"/>
        <w:numPr>
          <w:ilvl w:val="0"/>
          <w:numId w:val="1"/>
        </w:numPr>
        <w:tabs>
          <w:tab w:val="left" w:pos="915"/>
          <w:tab w:val="left" w:pos="2473"/>
          <w:tab w:val="left" w:pos="3984"/>
          <w:tab w:val="left" w:pos="5450"/>
          <w:tab w:val="left" w:pos="5568"/>
          <w:tab w:val="left" w:pos="6868"/>
          <w:tab w:val="left" w:pos="7480"/>
          <w:tab w:val="left" w:pos="8014"/>
          <w:tab w:val="left" w:pos="8791"/>
          <w:tab w:val="left" w:pos="9152"/>
        </w:tabs>
        <w:spacing w:before="90" w:line="480" w:lineRule="auto"/>
        <w:ind w:right="260"/>
        <w:jc w:val="both"/>
        <w:rPr>
          <w:sz w:val="24"/>
        </w:rPr>
      </w:pPr>
      <w:r>
        <w:rPr>
          <w:sz w:val="24"/>
          <w:lang w:val="en-US" w:bidi="en-US"/>
        </w:rPr>
        <w:t>After foreign national candidates submit their applications online at http://truva.baskent.edu.tr/onkayit/yabanci/, they should submit their documents by contacting the International Relations and Exchange Programs Coordination Office.</w:t>
      </w:r>
      <w:r>
        <w:rPr>
          <w:sz w:val="24"/>
          <w:lang w:val="en-US" w:bidi="en-US"/>
        </w:rPr>
        <w:tab/>
      </w:r>
      <w:r>
        <w:rPr>
          <w:sz w:val="24"/>
          <w:lang w:val="en-US" w:bidi="en-US"/>
        </w:rPr>
        <w:tab/>
      </w:r>
    </w:p>
    <w:p w:rsidR="00F03E66" w:rsidRDefault="00F03E66" w:rsidP="00F03E66">
      <w:pPr>
        <w:pStyle w:val="ListeParagraf"/>
        <w:numPr>
          <w:ilvl w:val="0"/>
          <w:numId w:val="1"/>
        </w:numPr>
        <w:tabs>
          <w:tab w:val="left" w:pos="915"/>
        </w:tabs>
        <w:spacing w:line="480" w:lineRule="auto"/>
        <w:ind w:right="255"/>
        <w:jc w:val="both"/>
        <w:rPr>
          <w:sz w:val="24"/>
        </w:rPr>
      </w:pPr>
      <w:r>
        <w:rPr>
          <w:sz w:val="24"/>
          <w:lang w:val="en-US" w:bidi="en-US"/>
        </w:rPr>
        <w:t>Foreign applicants who apply in accordance with the application requirements of the programs are interviewed by the relevant Department.</w:t>
      </w:r>
    </w:p>
    <w:p w:rsidR="00F03E66" w:rsidRDefault="00F03E66" w:rsidP="00F03E66">
      <w:pPr>
        <w:pStyle w:val="ListeParagraf"/>
        <w:numPr>
          <w:ilvl w:val="0"/>
          <w:numId w:val="1"/>
        </w:numPr>
        <w:tabs>
          <w:tab w:val="left" w:pos="915"/>
        </w:tabs>
        <w:spacing w:line="480" w:lineRule="auto"/>
        <w:ind w:right="264"/>
        <w:jc w:val="both"/>
        <w:rPr>
          <w:sz w:val="24"/>
        </w:rPr>
      </w:pPr>
      <w:r>
        <w:rPr>
          <w:sz w:val="24"/>
          <w:lang w:val="en-US" w:bidi="en-US"/>
        </w:rPr>
        <w:t>Foreign students who qualify to enroll are announced on the Institute website on the date specified in the academic calendar, together with the students who qualify to enroll in the relevant semester.</w:t>
      </w:r>
    </w:p>
    <w:p w:rsidR="00F03E66" w:rsidRDefault="00F03E66" w:rsidP="00F03E66">
      <w:pPr>
        <w:pStyle w:val="ListeParagraf"/>
        <w:numPr>
          <w:ilvl w:val="0"/>
          <w:numId w:val="1"/>
        </w:numPr>
        <w:tabs>
          <w:tab w:val="left" w:pos="915"/>
        </w:tabs>
        <w:spacing w:line="480" w:lineRule="auto"/>
        <w:ind w:right="263"/>
        <w:jc w:val="both"/>
        <w:rPr>
          <w:sz w:val="24"/>
        </w:rPr>
      </w:pPr>
      <w:r>
        <w:rPr>
          <w:sz w:val="24"/>
          <w:lang w:val="en-US" w:bidi="en-US"/>
        </w:rPr>
        <w:t>Registration of foreign students is made by the International Relations and Exchange Programs Coordination Office within the period specified in the academic calendar.</w:t>
      </w:r>
    </w:p>
    <w:p w:rsidR="00F03E66" w:rsidRDefault="00F03E66" w:rsidP="00F03E66">
      <w:pPr>
        <w:pStyle w:val="ListeParagraf"/>
        <w:numPr>
          <w:ilvl w:val="0"/>
          <w:numId w:val="1"/>
        </w:numPr>
        <w:tabs>
          <w:tab w:val="left" w:pos="915"/>
        </w:tabs>
        <w:spacing w:before="1" w:line="480" w:lineRule="auto"/>
        <w:ind w:right="266"/>
        <w:jc w:val="both"/>
        <w:rPr>
          <w:sz w:val="24"/>
        </w:rPr>
      </w:pPr>
      <w:r>
        <w:rPr>
          <w:sz w:val="24"/>
          <w:lang w:val="en-US" w:bidi="en-US"/>
        </w:rPr>
        <w:t>Post-registration correspondence of foreign students is handled by the International Relations and Exchange Programs Coordination Office.</w:t>
      </w:r>
    </w:p>
    <w:p w:rsidR="00F83549" w:rsidRPr="00F03E66" w:rsidRDefault="00F83549" w:rsidP="00F03E66">
      <w:bookmarkStart w:id="0" w:name="_GoBack"/>
      <w:bookmarkEnd w:id="0"/>
    </w:p>
    <w:sectPr w:rsidR="00F83549" w:rsidRPr="00F03E66">
      <w:pgSz w:w="11930" w:h="16850"/>
      <w:pgMar w:top="1320" w:right="1040" w:bottom="280" w:left="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A6757"/>
    <w:multiLevelType w:val="hybridMultilevel"/>
    <w:tmpl w:val="7C6A7AEA"/>
    <w:lvl w:ilvl="0" w:tplc="C7EAF134">
      <w:start w:val="1"/>
      <w:numFmt w:val="decimal"/>
      <w:lvlText w:val="%1."/>
      <w:lvlJc w:val="left"/>
      <w:pPr>
        <w:ind w:left="914" w:hanging="360"/>
        <w:jc w:val="left"/>
      </w:pPr>
      <w:rPr>
        <w:rFonts w:ascii="Times New Roman" w:eastAsia="Times New Roman" w:hAnsi="Times New Roman" w:cs="Times New Roman" w:hint="default"/>
        <w:spacing w:val="-3"/>
        <w:w w:val="100"/>
        <w:sz w:val="24"/>
        <w:szCs w:val="24"/>
        <w:lang w:val="tr-TR" w:eastAsia="en-US" w:bidi="ar-SA"/>
      </w:rPr>
    </w:lvl>
    <w:lvl w:ilvl="1" w:tplc="FA3461F4">
      <w:numFmt w:val="bullet"/>
      <w:lvlText w:val="•"/>
      <w:lvlJc w:val="left"/>
      <w:pPr>
        <w:ind w:left="1836" w:hanging="360"/>
      </w:pPr>
      <w:rPr>
        <w:rFonts w:hint="default"/>
        <w:lang w:val="tr-TR" w:eastAsia="en-US" w:bidi="ar-SA"/>
      </w:rPr>
    </w:lvl>
    <w:lvl w:ilvl="2" w:tplc="3E2685C2">
      <w:numFmt w:val="bullet"/>
      <w:lvlText w:val="•"/>
      <w:lvlJc w:val="left"/>
      <w:pPr>
        <w:ind w:left="2752" w:hanging="360"/>
      </w:pPr>
      <w:rPr>
        <w:rFonts w:hint="default"/>
        <w:lang w:val="tr-TR" w:eastAsia="en-US" w:bidi="ar-SA"/>
      </w:rPr>
    </w:lvl>
    <w:lvl w:ilvl="3" w:tplc="E8FE0080">
      <w:numFmt w:val="bullet"/>
      <w:lvlText w:val="•"/>
      <w:lvlJc w:val="left"/>
      <w:pPr>
        <w:ind w:left="3668" w:hanging="360"/>
      </w:pPr>
      <w:rPr>
        <w:rFonts w:hint="default"/>
        <w:lang w:val="tr-TR" w:eastAsia="en-US" w:bidi="ar-SA"/>
      </w:rPr>
    </w:lvl>
    <w:lvl w:ilvl="4" w:tplc="8F08B794">
      <w:numFmt w:val="bullet"/>
      <w:lvlText w:val="•"/>
      <w:lvlJc w:val="left"/>
      <w:pPr>
        <w:ind w:left="4584" w:hanging="360"/>
      </w:pPr>
      <w:rPr>
        <w:rFonts w:hint="default"/>
        <w:lang w:val="tr-TR" w:eastAsia="en-US" w:bidi="ar-SA"/>
      </w:rPr>
    </w:lvl>
    <w:lvl w:ilvl="5" w:tplc="5F2805A8">
      <w:numFmt w:val="bullet"/>
      <w:lvlText w:val="•"/>
      <w:lvlJc w:val="left"/>
      <w:pPr>
        <w:ind w:left="5500" w:hanging="360"/>
      </w:pPr>
      <w:rPr>
        <w:rFonts w:hint="default"/>
        <w:lang w:val="tr-TR" w:eastAsia="en-US" w:bidi="ar-SA"/>
      </w:rPr>
    </w:lvl>
    <w:lvl w:ilvl="6" w:tplc="3718E8F6">
      <w:numFmt w:val="bullet"/>
      <w:lvlText w:val="•"/>
      <w:lvlJc w:val="left"/>
      <w:pPr>
        <w:ind w:left="6416" w:hanging="360"/>
      </w:pPr>
      <w:rPr>
        <w:rFonts w:hint="default"/>
        <w:lang w:val="tr-TR" w:eastAsia="en-US" w:bidi="ar-SA"/>
      </w:rPr>
    </w:lvl>
    <w:lvl w:ilvl="7" w:tplc="BC22DA92">
      <w:numFmt w:val="bullet"/>
      <w:lvlText w:val="•"/>
      <w:lvlJc w:val="left"/>
      <w:pPr>
        <w:ind w:left="7332" w:hanging="360"/>
      </w:pPr>
      <w:rPr>
        <w:rFonts w:hint="default"/>
        <w:lang w:val="tr-TR" w:eastAsia="en-US" w:bidi="ar-SA"/>
      </w:rPr>
    </w:lvl>
    <w:lvl w:ilvl="8" w:tplc="AD482EEA">
      <w:numFmt w:val="bullet"/>
      <w:lvlText w:val="•"/>
      <w:lvlJc w:val="left"/>
      <w:pPr>
        <w:ind w:left="8248" w:hanging="360"/>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B00"/>
    <w:rsid w:val="009D0B00"/>
    <w:rsid w:val="00F03E66"/>
    <w:rsid w:val="00F835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B8372-4BF1-4EB4-AFEC-64CDE473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unhideWhenUsed/>
    <w:qFormat/>
    <w:rsid w:val="00F03E66"/>
    <w:pPr>
      <w:widowControl w:val="0"/>
      <w:autoSpaceDE w:val="0"/>
      <w:autoSpaceDN w:val="0"/>
      <w:spacing w:before="75" w:after="0" w:line="240" w:lineRule="auto"/>
      <w:ind w:left="193"/>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03E66"/>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F03E6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F03E66"/>
    <w:rPr>
      <w:rFonts w:ascii="Times New Roman" w:eastAsia="Times New Roman" w:hAnsi="Times New Roman" w:cs="Times New Roman"/>
      <w:sz w:val="24"/>
      <w:szCs w:val="24"/>
    </w:rPr>
  </w:style>
  <w:style w:type="paragraph" w:styleId="ListeParagraf">
    <w:name w:val="List Paragraph"/>
    <w:basedOn w:val="Normal"/>
    <w:uiPriority w:val="1"/>
    <w:qFormat/>
    <w:rsid w:val="00F03E66"/>
    <w:pPr>
      <w:widowControl w:val="0"/>
      <w:autoSpaceDE w:val="0"/>
      <w:autoSpaceDN w:val="0"/>
      <w:spacing w:after="0" w:line="240" w:lineRule="auto"/>
      <w:ind w:left="914" w:hanging="36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2022-03-15T11:42:00Z</dcterms:created>
  <dcterms:modified xsi:type="dcterms:W3CDTF">2022-03-15T11:43:00Z</dcterms:modified>
</cp:coreProperties>
</file>