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585" w:rsidRDefault="00506585" w:rsidP="00506585">
      <w:pPr>
        <w:pStyle w:val="Balk2"/>
        <w:ind w:left="0" w:right="1881"/>
        <w:jc w:val="center"/>
        <w:rPr>
          <w:spacing w:val="-2"/>
          <w:lang w:val="en-US" w:bidi="en-US"/>
        </w:rPr>
      </w:pPr>
      <w:r>
        <w:rPr>
          <w:spacing w:val="-2"/>
          <w:lang w:val="en-US" w:bidi="en-US"/>
        </w:rPr>
        <w:t xml:space="preserve">                    </w:t>
      </w:r>
      <w:r>
        <w:rPr>
          <w:spacing w:val="-2"/>
          <w:lang w:val="en-US" w:bidi="en-US"/>
        </w:rPr>
        <w:t>SPECIAL STUDENT APPLICATIONS</w:t>
      </w:r>
    </w:p>
    <w:p w:rsidR="00506585" w:rsidRDefault="00506585" w:rsidP="00506585">
      <w:pPr>
        <w:pStyle w:val="Balk2"/>
        <w:ind w:left="0" w:right="1881"/>
        <w:jc w:val="center"/>
      </w:pPr>
    </w:p>
    <w:p w:rsidR="00506585" w:rsidRDefault="00506585" w:rsidP="00506585">
      <w:pPr>
        <w:pStyle w:val="GvdeMetni"/>
        <w:rPr>
          <w:b/>
          <w:sz w:val="22"/>
        </w:rPr>
      </w:pPr>
    </w:p>
    <w:p w:rsidR="00506585" w:rsidRDefault="00506585" w:rsidP="00506585">
      <w:pPr>
        <w:pStyle w:val="GvdeMetni"/>
        <w:spacing w:line="360" w:lineRule="auto"/>
        <w:ind w:left="193" w:right="254"/>
        <w:jc w:val="both"/>
      </w:pPr>
      <w:r>
        <w:rPr>
          <w:lang w:val="en-US" w:bidi="en-US"/>
        </w:rPr>
        <w:t xml:space="preserve">With the regulation change of the Council of Higher Education published in the Official Gazette dated November 22, 2019, it is necessary to be registered in </w:t>
      </w:r>
      <w:r w:rsidRPr="00896F7B">
        <w:rPr>
          <w:b/>
          <w:bCs/>
          <w:lang w:val="en-US" w:bidi="en-US"/>
        </w:rPr>
        <w:t>another higher education institution's</w:t>
      </w:r>
      <w:r>
        <w:rPr>
          <w:lang w:val="en-US" w:bidi="en-US"/>
        </w:rPr>
        <w:t xml:space="preserve"> master's, doctorate or proficiency in arts program in order to take courses from a higher education institution as a special student.</w:t>
      </w:r>
    </w:p>
    <w:p w:rsidR="00506585" w:rsidRPr="00896F7B" w:rsidRDefault="00506585" w:rsidP="00506585">
      <w:pPr>
        <w:pStyle w:val="ListeParagraf"/>
        <w:numPr>
          <w:ilvl w:val="0"/>
          <w:numId w:val="1"/>
        </w:numPr>
        <w:tabs>
          <w:tab w:val="left" w:pos="915"/>
        </w:tabs>
        <w:spacing w:before="147" w:line="439" w:lineRule="auto"/>
        <w:ind w:right="260"/>
        <w:jc w:val="both"/>
        <w:rPr>
          <w:sz w:val="24"/>
        </w:rPr>
      </w:pPr>
      <w:r>
        <w:rPr>
          <w:sz w:val="24"/>
          <w:lang w:val="en-US" w:bidi="en-US"/>
        </w:rPr>
        <w:t xml:space="preserve">Those who are graduate students of a higher education institution and want to increase their knowledge on a particular subject can enroll in a special student status for the courses offered at the institutes for a total of four (4) courses, for a maximum of two semesters and a maximum of two (2) courses per semester. </w:t>
      </w:r>
      <w:r w:rsidRPr="00896F7B">
        <w:rPr>
          <w:lang w:val="en-US" w:bidi="en-US"/>
        </w:rPr>
        <w:t>(</w:t>
      </w:r>
      <w:proofErr w:type="spellStart"/>
      <w:r w:rsidRPr="00896F7B">
        <w:rPr>
          <w:lang w:val="en-US" w:bidi="en-US"/>
        </w:rPr>
        <w:t>Ba</w:t>
      </w:r>
      <w:r>
        <w:rPr>
          <w:lang w:val="en-US" w:bidi="en-US"/>
        </w:rPr>
        <w:t>ş</w:t>
      </w:r>
      <w:r w:rsidRPr="00896F7B">
        <w:rPr>
          <w:lang w:val="en-US" w:bidi="en-US"/>
        </w:rPr>
        <w:t>kent</w:t>
      </w:r>
      <w:proofErr w:type="spellEnd"/>
      <w:r w:rsidRPr="00896F7B">
        <w:rPr>
          <w:lang w:val="en-US" w:bidi="en-US"/>
        </w:rPr>
        <w:t xml:space="preserve"> University Postgraduate Education and Examination Regulation - Article 15/1)</w:t>
      </w:r>
    </w:p>
    <w:p w:rsidR="00506585" w:rsidRDefault="00506585" w:rsidP="00506585">
      <w:pPr>
        <w:pStyle w:val="ListeParagraf"/>
        <w:numPr>
          <w:ilvl w:val="0"/>
          <w:numId w:val="1"/>
        </w:numPr>
        <w:tabs>
          <w:tab w:val="left" w:pos="915"/>
        </w:tabs>
        <w:spacing w:before="1"/>
        <w:ind w:hanging="361"/>
        <w:jc w:val="both"/>
        <w:rPr>
          <w:sz w:val="24"/>
        </w:rPr>
      </w:pPr>
      <w:r>
        <w:rPr>
          <w:sz w:val="24"/>
          <w:lang w:val="en-US" w:bidi="en-US"/>
        </w:rPr>
        <w:t>Applications for special studentship are evaluated by the head of the department.</w:t>
      </w:r>
    </w:p>
    <w:p w:rsidR="00506585" w:rsidRDefault="00506585" w:rsidP="00506585">
      <w:pPr>
        <w:pStyle w:val="ListeParagraf"/>
        <w:numPr>
          <w:ilvl w:val="0"/>
          <w:numId w:val="1"/>
        </w:numPr>
        <w:tabs>
          <w:tab w:val="left" w:pos="915"/>
        </w:tabs>
        <w:spacing w:before="266"/>
        <w:ind w:hanging="361"/>
        <w:jc w:val="both"/>
        <w:rPr>
          <w:sz w:val="24"/>
        </w:rPr>
      </w:pPr>
      <w:r>
        <w:rPr>
          <w:sz w:val="24"/>
          <w:lang w:val="en-US" w:bidi="en-US"/>
        </w:rPr>
        <w:t>Applications for special studentship can be made online within the periods specified in the academic calendar for the relevant semester</w:t>
      </w:r>
    </w:p>
    <w:p w:rsidR="00506585" w:rsidRDefault="00506585" w:rsidP="00506585">
      <w:pPr>
        <w:pStyle w:val="GvdeMetni"/>
        <w:spacing w:before="8"/>
        <w:rPr>
          <w:sz w:val="23"/>
        </w:rPr>
      </w:pPr>
    </w:p>
    <w:p w:rsidR="00506585" w:rsidRDefault="00506585" w:rsidP="00506585">
      <w:pPr>
        <w:ind w:left="914"/>
        <w:jc w:val="both"/>
        <w:rPr>
          <w:sz w:val="24"/>
        </w:rPr>
      </w:pPr>
      <w:r>
        <w:rPr>
          <w:sz w:val="24"/>
          <w:lang w:val="en-US" w:bidi="en-US"/>
        </w:rPr>
        <w:t>at http://truva.baskent.edu.tr/onkayit/lisansustu/</w:t>
      </w:r>
    </w:p>
    <w:p w:rsidR="00506585" w:rsidRDefault="00506585" w:rsidP="00506585">
      <w:pPr>
        <w:pStyle w:val="GvdeMetni"/>
        <w:spacing w:before="8"/>
        <w:rPr>
          <w:sz w:val="23"/>
        </w:rPr>
      </w:pPr>
    </w:p>
    <w:p w:rsidR="00506585" w:rsidRDefault="00506585" w:rsidP="00506585">
      <w:pPr>
        <w:pStyle w:val="ListeParagraf"/>
        <w:numPr>
          <w:ilvl w:val="0"/>
          <w:numId w:val="1"/>
        </w:numPr>
        <w:tabs>
          <w:tab w:val="left" w:pos="915"/>
        </w:tabs>
        <w:spacing w:line="458" w:lineRule="auto"/>
        <w:ind w:right="258"/>
        <w:jc w:val="both"/>
        <w:rPr>
          <w:sz w:val="24"/>
        </w:rPr>
      </w:pPr>
      <w:r>
        <w:rPr>
          <w:sz w:val="24"/>
          <w:lang w:val="en-US" w:bidi="en-US"/>
        </w:rPr>
        <w:t>The candidate, who completes the online application, submits the documents to the Institute, receives the course selection form, contacts with the Head of the Department, determines the courses and has the course selection form approved.</w:t>
      </w:r>
    </w:p>
    <w:p w:rsidR="00506585" w:rsidRDefault="00506585" w:rsidP="00506585">
      <w:pPr>
        <w:pStyle w:val="ListeParagraf"/>
        <w:numPr>
          <w:ilvl w:val="0"/>
          <w:numId w:val="1"/>
        </w:numPr>
        <w:tabs>
          <w:tab w:val="left" w:pos="915"/>
        </w:tabs>
        <w:spacing w:before="22" w:line="439" w:lineRule="auto"/>
        <w:ind w:right="267"/>
        <w:jc w:val="both"/>
        <w:rPr>
          <w:sz w:val="24"/>
        </w:rPr>
      </w:pPr>
      <w:r>
        <w:rPr>
          <w:sz w:val="24"/>
          <w:lang w:val="en-US" w:bidi="en-US"/>
        </w:rPr>
        <w:t xml:space="preserve">Students who qualify for the final registration are determined by the decision of the </w:t>
      </w:r>
      <w:proofErr w:type="spellStart"/>
      <w:r>
        <w:rPr>
          <w:sz w:val="24"/>
          <w:lang w:val="en-US" w:bidi="en-US"/>
        </w:rPr>
        <w:t>lnstitute’s</w:t>
      </w:r>
      <w:proofErr w:type="spellEnd"/>
      <w:r>
        <w:rPr>
          <w:sz w:val="24"/>
          <w:lang w:val="en-US" w:bidi="en-US"/>
        </w:rPr>
        <w:t xml:space="preserve"> Administrative Board and announced on the Institute website.</w:t>
      </w:r>
    </w:p>
    <w:p w:rsidR="00506585" w:rsidRDefault="00506585" w:rsidP="00506585">
      <w:pPr>
        <w:pStyle w:val="ListeParagraf"/>
        <w:numPr>
          <w:ilvl w:val="0"/>
          <w:numId w:val="1"/>
        </w:numPr>
        <w:tabs>
          <w:tab w:val="left" w:pos="975"/>
        </w:tabs>
        <w:spacing w:before="49" w:line="436" w:lineRule="auto"/>
        <w:ind w:right="263"/>
        <w:jc w:val="both"/>
        <w:rPr>
          <w:sz w:val="24"/>
        </w:rPr>
      </w:pPr>
      <w:r>
        <w:rPr>
          <w:lang w:val="en-US" w:bidi="en-US"/>
        </w:rPr>
        <w:tab/>
      </w:r>
      <w:r>
        <w:rPr>
          <w:sz w:val="24"/>
          <w:lang w:val="en-US" w:bidi="en-US"/>
        </w:rPr>
        <w:t>Students who qualify for Special Studentship complete their registration process by applying to the Instit</w:t>
      </w:r>
      <w:bookmarkStart w:id="0" w:name="_GoBack"/>
      <w:bookmarkEnd w:id="0"/>
      <w:r>
        <w:rPr>
          <w:sz w:val="24"/>
          <w:lang w:val="en-US" w:bidi="en-US"/>
        </w:rPr>
        <w:t>ute with their documents on the registration date.</w:t>
      </w:r>
    </w:p>
    <w:p w:rsidR="00506585" w:rsidRDefault="00506585" w:rsidP="00506585">
      <w:pPr>
        <w:pStyle w:val="ListeParagraf"/>
        <w:numPr>
          <w:ilvl w:val="0"/>
          <w:numId w:val="1"/>
        </w:numPr>
        <w:tabs>
          <w:tab w:val="left" w:pos="915"/>
        </w:tabs>
        <w:spacing w:before="52"/>
        <w:ind w:hanging="361"/>
        <w:jc w:val="both"/>
        <w:rPr>
          <w:sz w:val="24"/>
        </w:rPr>
      </w:pPr>
      <w:r>
        <w:rPr>
          <w:sz w:val="24"/>
          <w:lang w:val="en-US" w:bidi="en-US"/>
        </w:rPr>
        <w:t xml:space="preserve">Special students </w:t>
      </w:r>
      <w:r w:rsidRPr="001B0145">
        <w:rPr>
          <w:sz w:val="24"/>
          <w:u w:val="single"/>
          <w:lang w:val="en-US" w:bidi="en-US"/>
        </w:rPr>
        <w:t>cannot benefit from other student rights.</w:t>
      </w:r>
    </w:p>
    <w:p w:rsidR="00506585" w:rsidRDefault="00506585" w:rsidP="00506585">
      <w:pPr>
        <w:pStyle w:val="ListeParagraf"/>
        <w:numPr>
          <w:ilvl w:val="0"/>
          <w:numId w:val="1"/>
        </w:numPr>
        <w:tabs>
          <w:tab w:val="left" w:pos="915"/>
        </w:tabs>
        <w:spacing w:before="268" w:line="436" w:lineRule="auto"/>
        <w:ind w:right="257"/>
        <w:jc w:val="both"/>
        <w:rPr>
          <w:sz w:val="24"/>
        </w:rPr>
      </w:pPr>
      <w:r>
        <w:rPr>
          <w:sz w:val="24"/>
          <w:lang w:val="en-US" w:bidi="en-US"/>
        </w:rPr>
        <w:t>Special students' status ends after they complete the courses in the semester they are registered.</w:t>
      </w:r>
    </w:p>
    <w:p w:rsidR="00506585" w:rsidRDefault="00506585" w:rsidP="00506585">
      <w:pPr>
        <w:pStyle w:val="GvdeMetni"/>
        <w:rPr>
          <w:sz w:val="26"/>
        </w:rPr>
      </w:pPr>
    </w:p>
    <w:p w:rsidR="00506585" w:rsidRPr="00506585" w:rsidRDefault="00506585" w:rsidP="00506585">
      <w:pPr>
        <w:pStyle w:val="GvdeMetni"/>
        <w:spacing w:before="9"/>
        <w:jc w:val="center"/>
        <w:rPr>
          <w:sz w:val="28"/>
        </w:rPr>
      </w:pPr>
    </w:p>
    <w:p w:rsidR="00F83549" w:rsidRPr="00506585" w:rsidRDefault="00506585" w:rsidP="00506585">
      <w:pPr>
        <w:jc w:val="center"/>
        <w:rPr>
          <w:b/>
        </w:rPr>
      </w:pPr>
      <w:hyperlink r:id="rId5">
        <w:r w:rsidRPr="00506585">
          <w:rPr>
            <w:b/>
            <w:color w:val="0000FF"/>
            <w:sz w:val="24"/>
            <w:u w:val="thick" w:color="0000FF"/>
            <w:lang w:val="en-US" w:bidi="en-US"/>
          </w:rPr>
          <w:t>Click for Special Student Application and Registration Process Chart.</w:t>
        </w:r>
      </w:hyperlink>
    </w:p>
    <w:sectPr w:rsidR="00F83549" w:rsidRPr="005065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4399"/>
    <w:multiLevelType w:val="hybridMultilevel"/>
    <w:tmpl w:val="07EC25C2"/>
    <w:lvl w:ilvl="0" w:tplc="E5BCFDD8">
      <w:start w:val="1"/>
      <w:numFmt w:val="decimal"/>
      <w:lvlText w:val="%1."/>
      <w:lvlJc w:val="left"/>
      <w:pPr>
        <w:ind w:left="914" w:hanging="360"/>
        <w:jc w:val="left"/>
      </w:pPr>
      <w:rPr>
        <w:rFonts w:ascii="Times New Roman" w:eastAsia="Times New Roman" w:hAnsi="Times New Roman" w:cs="Times New Roman" w:hint="default"/>
        <w:spacing w:val="0"/>
        <w:w w:val="100"/>
        <w:sz w:val="28"/>
        <w:szCs w:val="28"/>
        <w:lang w:val="tr-TR" w:eastAsia="en-US" w:bidi="ar-SA"/>
      </w:rPr>
    </w:lvl>
    <w:lvl w:ilvl="1" w:tplc="F2007140">
      <w:numFmt w:val="bullet"/>
      <w:lvlText w:val="•"/>
      <w:lvlJc w:val="left"/>
      <w:pPr>
        <w:ind w:left="1836" w:hanging="360"/>
      </w:pPr>
      <w:rPr>
        <w:rFonts w:hint="default"/>
        <w:lang w:val="tr-TR" w:eastAsia="en-US" w:bidi="ar-SA"/>
      </w:rPr>
    </w:lvl>
    <w:lvl w:ilvl="2" w:tplc="02F84352">
      <w:numFmt w:val="bullet"/>
      <w:lvlText w:val="•"/>
      <w:lvlJc w:val="left"/>
      <w:pPr>
        <w:ind w:left="2752" w:hanging="360"/>
      </w:pPr>
      <w:rPr>
        <w:rFonts w:hint="default"/>
        <w:lang w:val="tr-TR" w:eastAsia="en-US" w:bidi="ar-SA"/>
      </w:rPr>
    </w:lvl>
    <w:lvl w:ilvl="3" w:tplc="FC54A5D0">
      <w:numFmt w:val="bullet"/>
      <w:lvlText w:val="•"/>
      <w:lvlJc w:val="left"/>
      <w:pPr>
        <w:ind w:left="3668" w:hanging="360"/>
      </w:pPr>
      <w:rPr>
        <w:rFonts w:hint="default"/>
        <w:lang w:val="tr-TR" w:eastAsia="en-US" w:bidi="ar-SA"/>
      </w:rPr>
    </w:lvl>
    <w:lvl w:ilvl="4" w:tplc="9BAA6650">
      <w:numFmt w:val="bullet"/>
      <w:lvlText w:val="•"/>
      <w:lvlJc w:val="left"/>
      <w:pPr>
        <w:ind w:left="4584" w:hanging="360"/>
      </w:pPr>
      <w:rPr>
        <w:rFonts w:hint="default"/>
        <w:lang w:val="tr-TR" w:eastAsia="en-US" w:bidi="ar-SA"/>
      </w:rPr>
    </w:lvl>
    <w:lvl w:ilvl="5" w:tplc="813ECA46">
      <w:numFmt w:val="bullet"/>
      <w:lvlText w:val="•"/>
      <w:lvlJc w:val="left"/>
      <w:pPr>
        <w:ind w:left="5500" w:hanging="360"/>
      </w:pPr>
      <w:rPr>
        <w:rFonts w:hint="default"/>
        <w:lang w:val="tr-TR" w:eastAsia="en-US" w:bidi="ar-SA"/>
      </w:rPr>
    </w:lvl>
    <w:lvl w:ilvl="6" w:tplc="8CD42E5E">
      <w:numFmt w:val="bullet"/>
      <w:lvlText w:val="•"/>
      <w:lvlJc w:val="left"/>
      <w:pPr>
        <w:ind w:left="6416" w:hanging="360"/>
      </w:pPr>
      <w:rPr>
        <w:rFonts w:hint="default"/>
        <w:lang w:val="tr-TR" w:eastAsia="en-US" w:bidi="ar-SA"/>
      </w:rPr>
    </w:lvl>
    <w:lvl w:ilvl="7" w:tplc="24E6D81A">
      <w:numFmt w:val="bullet"/>
      <w:lvlText w:val="•"/>
      <w:lvlJc w:val="left"/>
      <w:pPr>
        <w:ind w:left="7332" w:hanging="360"/>
      </w:pPr>
      <w:rPr>
        <w:rFonts w:hint="default"/>
        <w:lang w:val="tr-TR" w:eastAsia="en-US" w:bidi="ar-SA"/>
      </w:rPr>
    </w:lvl>
    <w:lvl w:ilvl="8" w:tplc="1F101D6C">
      <w:numFmt w:val="bullet"/>
      <w:lvlText w:val="•"/>
      <w:lvlJc w:val="left"/>
      <w:pPr>
        <w:ind w:left="8248" w:hanging="36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9A"/>
    <w:rsid w:val="00506585"/>
    <w:rsid w:val="0065549A"/>
    <w:rsid w:val="00F835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2C57"/>
  <w15:chartTrackingRefBased/>
  <w15:docId w15:val="{260AD361-1C11-4454-9999-9938E485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585"/>
    <w:pPr>
      <w:widowControl w:val="0"/>
      <w:autoSpaceDE w:val="0"/>
      <w:autoSpaceDN w:val="0"/>
      <w:spacing w:after="0" w:line="240" w:lineRule="auto"/>
    </w:pPr>
    <w:rPr>
      <w:rFonts w:ascii="Times New Roman" w:eastAsia="Times New Roman" w:hAnsi="Times New Roman" w:cs="Times New Roman"/>
    </w:rPr>
  </w:style>
  <w:style w:type="paragraph" w:styleId="Balk2">
    <w:name w:val="heading 2"/>
    <w:basedOn w:val="Normal"/>
    <w:link w:val="Balk2Char"/>
    <w:uiPriority w:val="9"/>
    <w:unhideWhenUsed/>
    <w:qFormat/>
    <w:rsid w:val="00506585"/>
    <w:pPr>
      <w:spacing w:before="75"/>
      <w:ind w:left="193"/>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06585"/>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506585"/>
    <w:rPr>
      <w:sz w:val="24"/>
      <w:szCs w:val="24"/>
    </w:rPr>
  </w:style>
  <w:style w:type="character" w:customStyle="1" w:styleId="GvdeMetniChar">
    <w:name w:val="Gövde Metni Char"/>
    <w:basedOn w:val="VarsaylanParagrafYazTipi"/>
    <w:link w:val="GvdeMetni"/>
    <w:uiPriority w:val="1"/>
    <w:rsid w:val="00506585"/>
    <w:rPr>
      <w:rFonts w:ascii="Times New Roman" w:eastAsia="Times New Roman" w:hAnsi="Times New Roman" w:cs="Times New Roman"/>
      <w:sz w:val="24"/>
      <w:szCs w:val="24"/>
    </w:rPr>
  </w:style>
  <w:style w:type="paragraph" w:styleId="ListeParagraf">
    <w:name w:val="List Paragraph"/>
    <w:basedOn w:val="Normal"/>
    <w:uiPriority w:val="1"/>
    <w:qFormat/>
    <w:rsid w:val="00506585"/>
    <w:pPr>
      <w:ind w:left="914"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be.baskent.edu.tr/kw/upload/919/dosyalar/surecsema2021turkce/ozelogrencisurecsemasii.pdf?birim=919&amp;menu_id=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2022-03-15T11:36:00Z</dcterms:created>
  <dcterms:modified xsi:type="dcterms:W3CDTF">2022-03-15T11:36:00Z</dcterms:modified>
</cp:coreProperties>
</file>