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76E" w:rsidRDefault="0084776E" w:rsidP="0084776E">
      <w:pPr>
        <w:pStyle w:val="Balk2"/>
        <w:spacing w:before="67"/>
        <w:ind w:left="2329" w:right="2393"/>
        <w:jc w:val="center"/>
      </w:pPr>
      <w:r>
        <w:rPr>
          <w:spacing w:val="-2"/>
          <w:lang w:val="en-US" w:bidi="en-US"/>
        </w:rPr>
        <w:t>TURKISH STUDENTS’ APPLICATIONS</w:t>
      </w:r>
    </w:p>
    <w:p w:rsidR="0084776E" w:rsidRDefault="0084776E" w:rsidP="0084776E">
      <w:pPr>
        <w:pStyle w:val="GvdeMetni"/>
        <w:rPr>
          <w:b/>
          <w:sz w:val="20"/>
        </w:rPr>
      </w:pPr>
    </w:p>
    <w:p w:rsidR="0084776E" w:rsidRDefault="0084776E" w:rsidP="0084776E">
      <w:pPr>
        <w:spacing w:before="207"/>
        <w:ind w:left="193"/>
        <w:rPr>
          <w:b/>
          <w:sz w:val="24"/>
          <w:u w:val="thick"/>
          <w:lang w:val="en-US" w:bidi="en-US"/>
        </w:rPr>
      </w:pPr>
      <w:r>
        <w:rPr>
          <w:b/>
          <w:sz w:val="24"/>
          <w:u w:val="thick"/>
          <w:lang w:val="en-US" w:bidi="en-US"/>
        </w:rPr>
        <w:t>Important Information Before Application</w:t>
      </w:r>
    </w:p>
    <w:p w:rsidR="0084776E" w:rsidRDefault="0084776E" w:rsidP="0084776E">
      <w:pPr>
        <w:spacing w:before="207"/>
        <w:ind w:left="193"/>
        <w:rPr>
          <w:sz w:val="28"/>
        </w:rPr>
      </w:pPr>
      <w:r>
        <w:rPr>
          <w:color w:val="FF0000"/>
          <w:sz w:val="28"/>
          <w:lang w:val="en-US" w:bidi="en-US"/>
        </w:rPr>
        <w:t>Candidates should check their compliance with the application requirements of the relevant program from the link given below before applying.</w:t>
      </w:r>
    </w:p>
    <w:p w:rsidR="0084776E" w:rsidRDefault="0084776E" w:rsidP="0084776E">
      <w:pPr>
        <w:pStyle w:val="GvdeMetni"/>
        <w:spacing w:before="2"/>
        <w:rPr>
          <w:sz w:val="28"/>
        </w:rPr>
      </w:pPr>
    </w:p>
    <w:p w:rsidR="0084776E" w:rsidRDefault="0084776E" w:rsidP="0084776E">
      <w:pPr>
        <w:pStyle w:val="GvdeMetni"/>
        <w:spacing w:line="276" w:lineRule="auto"/>
        <w:ind w:left="193" w:right="260"/>
        <w:jc w:val="both"/>
      </w:pPr>
      <w:r>
        <w:rPr>
          <w:lang w:val="en-US" w:bidi="en-US"/>
        </w:rPr>
        <w:t>Those who receive education in another graduate program, specialization in medicine, and specialization in dentistry cannot apply to master with thesis and doctoral programs. (Council of Higher Education’s letter dated 12/03/2019 and numbered 2455) However, they can apply to non-thesis master programs.</w:t>
      </w:r>
    </w:p>
    <w:p w:rsidR="0084776E" w:rsidRDefault="0084776E" w:rsidP="0084776E">
      <w:pPr>
        <w:pStyle w:val="GvdeMetni"/>
        <w:spacing w:before="3"/>
      </w:pPr>
    </w:p>
    <w:p w:rsidR="0084776E" w:rsidRDefault="0084776E" w:rsidP="0084776E">
      <w:pPr>
        <w:pStyle w:val="GvdeMetni"/>
        <w:spacing w:line="520" w:lineRule="auto"/>
        <w:ind w:left="193" w:right="867"/>
        <w:jc w:val="both"/>
      </w:pPr>
      <w:r>
        <w:rPr>
          <w:lang w:val="en-US" w:bidi="en-US"/>
        </w:rPr>
        <w:t>In order to convert the grade from the 4th system to the 100th grade in the calculation of the GPA; https://www.yok.gov.tr/kurumsal/idari-birimler/personel-dairesi</w:t>
      </w:r>
    </w:p>
    <w:p w:rsidR="0084776E" w:rsidRDefault="0084776E" w:rsidP="0084776E">
      <w:pPr>
        <w:pStyle w:val="GvdeMetni"/>
        <w:spacing w:line="518" w:lineRule="auto"/>
        <w:ind w:left="193" w:right="1224"/>
      </w:pPr>
      <w:r>
        <w:rPr>
          <w:lang w:val="en-US" w:bidi="en-US"/>
        </w:rPr>
        <w:t>For language equivalence; https://dokuman.osym.gov.tr/pdfdokuman/2016/GENEL/EsdegerlikTablosu25022016.pdf</w:t>
      </w:r>
    </w:p>
    <w:p w:rsidR="0084776E" w:rsidRDefault="0084776E" w:rsidP="0084776E">
      <w:pPr>
        <w:pStyle w:val="GvdeMetni"/>
        <w:spacing w:before="1" w:line="276" w:lineRule="auto"/>
        <w:ind w:left="193"/>
      </w:pPr>
      <w:r>
        <w:rPr>
          <w:lang w:val="en-US" w:bidi="en-US"/>
        </w:rPr>
        <w:t>With the decision of the Council of Higher Education, the duration of ALES and equivalent exams and foreign language exams is 5 years as of the date of the announcement of the exam result.</w:t>
      </w:r>
    </w:p>
    <w:p w:rsidR="0084776E" w:rsidRDefault="0084776E" w:rsidP="0084776E">
      <w:pPr>
        <w:pStyle w:val="GvdeMetni"/>
        <w:spacing w:before="4"/>
      </w:pPr>
    </w:p>
    <w:p w:rsidR="0084776E" w:rsidRDefault="0084776E" w:rsidP="0084776E">
      <w:pPr>
        <w:pStyle w:val="GvdeMetni"/>
        <w:spacing w:line="276" w:lineRule="auto"/>
        <w:ind w:left="193"/>
      </w:pPr>
      <w:r>
        <w:rPr>
          <w:lang w:val="en-US" w:bidi="en-US"/>
        </w:rPr>
        <w:t xml:space="preserve">Candidates who have received sufficient scores from the foreign language exams held by OSYM in the last 5 years are not required to take the </w:t>
      </w:r>
      <w:proofErr w:type="spellStart"/>
      <w:r>
        <w:rPr>
          <w:lang w:val="en-US" w:bidi="en-US"/>
        </w:rPr>
        <w:t>Başkent</w:t>
      </w:r>
      <w:proofErr w:type="spellEnd"/>
      <w:r>
        <w:rPr>
          <w:lang w:val="en-US" w:bidi="en-US"/>
        </w:rPr>
        <w:t xml:space="preserve"> University Foreign Language Proficiency Exam.</w:t>
      </w:r>
    </w:p>
    <w:p w:rsidR="0084776E" w:rsidRDefault="0084776E" w:rsidP="0084776E">
      <w:pPr>
        <w:pStyle w:val="GvdeMetni"/>
        <w:spacing w:before="8"/>
        <w:rPr>
          <w:sz w:val="16"/>
        </w:rPr>
      </w:pPr>
    </w:p>
    <w:p w:rsidR="0084776E" w:rsidRDefault="0084776E" w:rsidP="0084776E">
      <w:pPr>
        <w:pStyle w:val="GvdeMetni"/>
        <w:spacing w:before="90" w:line="273" w:lineRule="auto"/>
        <w:ind w:left="193" w:right="259"/>
        <w:jc w:val="both"/>
      </w:pPr>
      <w:r>
        <w:rPr>
          <w:lang w:val="en-US" w:bidi="en-US"/>
        </w:rPr>
        <w:t xml:space="preserve">Candidates who do not have enough scores from the exams held by ÖSYM in the last 5 years for applications to master programs can take the </w:t>
      </w:r>
      <w:proofErr w:type="spellStart"/>
      <w:r>
        <w:rPr>
          <w:lang w:val="en-US" w:bidi="en-US"/>
        </w:rPr>
        <w:t>Başkent</w:t>
      </w:r>
      <w:proofErr w:type="spellEnd"/>
      <w:r>
        <w:rPr>
          <w:lang w:val="en-US" w:bidi="en-US"/>
        </w:rPr>
        <w:t xml:space="preserve"> University Foreign Language Proficiency Exam. For that, the option that “I will take the exam” must be selected in the online application system at foreign language step.</w:t>
      </w:r>
    </w:p>
    <w:p w:rsidR="0084776E" w:rsidRDefault="0084776E" w:rsidP="0084776E">
      <w:pPr>
        <w:pStyle w:val="GvdeMetni"/>
        <w:spacing w:before="3"/>
        <w:rPr>
          <w:sz w:val="25"/>
        </w:rPr>
      </w:pPr>
    </w:p>
    <w:p w:rsidR="0084776E" w:rsidRDefault="0084776E" w:rsidP="0084776E">
      <w:pPr>
        <w:pStyle w:val="Balk2"/>
        <w:spacing w:before="0"/>
      </w:pPr>
      <w:r>
        <w:rPr>
          <w:u w:val="thick"/>
          <w:lang w:val="en-US" w:bidi="en-US"/>
        </w:rPr>
        <w:t>Fees</w:t>
      </w:r>
    </w:p>
    <w:p w:rsidR="0084776E" w:rsidRDefault="0084776E" w:rsidP="0084776E">
      <w:pPr>
        <w:pStyle w:val="GvdeMetni"/>
        <w:spacing w:before="197"/>
        <w:ind w:left="193"/>
      </w:pPr>
      <w:r>
        <w:rPr>
          <w:lang w:val="en-US" w:bidi="en-US"/>
        </w:rPr>
        <w:t>For the fees of the programs, visit the link below:</w:t>
      </w:r>
    </w:p>
    <w:p w:rsidR="0084776E" w:rsidRDefault="0084776E" w:rsidP="0084776E">
      <w:pPr>
        <w:pStyle w:val="GvdeMetni"/>
        <w:spacing w:before="201"/>
        <w:ind w:left="193"/>
      </w:pPr>
      <w:r>
        <w:rPr>
          <w:lang w:val="en-US" w:bidi="en-US"/>
        </w:rPr>
        <w:t>link</w:t>
      </w:r>
    </w:p>
    <w:p w:rsidR="0084776E" w:rsidRDefault="0084776E" w:rsidP="0084776E">
      <w:pPr>
        <w:pStyle w:val="GvdeMetni"/>
        <w:spacing w:before="204" w:line="273" w:lineRule="auto"/>
        <w:ind w:left="193" w:right="257"/>
        <w:jc w:val="both"/>
      </w:pPr>
      <w:r>
        <w:rPr>
          <w:lang w:val="en-US" w:bidi="en-US"/>
        </w:rPr>
        <w:t xml:space="preserve">The application fee must be deposited through </w:t>
      </w:r>
      <w:proofErr w:type="spellStart"/>
      <w:r>
        <w:rPr>
          <w:lang w:val="en-US" w:bidi="en-US"/>
        </w:rPr>
        <w:t>Denizbank</w:t>
      </w:r>
      <w:proofErr w:type="spellEnd"/>
      <w:r>
        <w:rPr>
          <w:lang w:val="en-US" w:bidi="en-US"/>
        </w:rPr>
        <w:t xml:space="preserve"> Branches to the bank account numbered 3010-796910-362, and the information about "TC Identity Number, Name-Surname", "Graduate program application" must be written in the statement section of the receipt.</w:t>
      </w:r>
    </w:p>
    <w:p w:rsidR="0084776E" w:rsidRDefault="0084776E" w:rsidP="0084776E">
      <w:pPr>
        <w:pStyle w:val="GvdeMetni"/>
        <w:spacing w:before="168" w:line="276" w:lineRule="auto"/>
        <w:ind w:left="193" w:right="254"/>
        <w:jc w:val="both"/>
      </w:pPr>
      <w:r>
        <w:rPr>
          <w:lang w:val="en-US" w:bidi="en-US"/>
        </w:rPr>
        <w:t>Candidates who want to deposit the application fee via EFT can deposit their fees to the IBAN number (TL) TR650013400000079691000013. To the statement section of the receipt, Candidates must write the "EFT CODE" and "Graduate program application" information given on the application form screen in the online application system.</w:t>
      </w:r>
    </w:p>
    <w:p w:rsidR="0084776E" w:rsidRDefault="0084776E" w:rsidP="0084776E">
      <w:pPr>
        <w:pStyle w:val="GvdeMetni"/>
        <w:spacing w:before="159" w:line="415" w:lineRule="auto"/>
        <w:ind w:left="193" w:right="3792"/>
        <w:jc w:val="both"/>
      </w:pPr>
      <w:r>
        <w:rPr>
          <w:lang w:val="en-US" w:bidi="en-US"/>
        </w:rPr>
        <w:t>*Application fee is 400 TL. The application fee is not refundable. Regarding the problems encountered in the application fees:</w:t>
      </w:r>
    </w:p>
    <w:p w:rsidR="0084776E" w:rsidRDefault="0084776E" w:rsidP="0084776E">
      <w:pPr>
        <w:pStyle w:val="GvdeMetni"/>
        <w:ind w:left="193"/>
        <w:jc w:val="both"/>
      </w:pPr>
      <w:r>
        <w:rPr>
          <w:lang w:val="en-US" w:bidi="en-US"/>
        </w:rPr>
        <w:t>Department of Administrative and Financial Affairs</w:t>
      </w:r>
    </w:p>
    <w:p w:rsidR="0084776E" w:rsidRDefault="0084776E" w:rsidP="0084776E">
      <w:pPr>
        <w:pStyle w:val="GvdeMetni"/>
        <w:spacing w:before="199"/>
        <w:ind w:left="193"/>
        <w:jc w:val="both"/>
      </w:pPr>
      <w:r>
        <w:rPr>
          <w:lang w:val="en-US" w:bidi="en-US"/>
        </w:rPr>
        <w:lastRenderedPageBreak/>
        <w:t>Tel: (312) 246 6666 / 6900 - 6901 - 6902 - 6903 can be contacted.</w:t>
      </w:r>
    </w:p>
    <w:p w:rsidR="0084776E" w:rsidRDefault="0084776E" w:rsidP="0084776E">
      <w:pPr>
        <w:pStyle w:val="Balk2"/>
        <w:spacing w:before="68"/>
      </w:pPr>
      <w:r>
        <w:rPr>
          <w:u w:val="thick"/>
          <w:lang w:val="en-US" w:bidi="en-US"/>
        </w:rPr>
        <w:t>Online Application</w:t>
      </w:r>
    </w:p>
    <w:p w:rsidR="0084776E" w:rsidRDefault="0084776E" w:rsidP="0084776E">
      <w:pPr>
        <w:pStyle w:val="GvdeMetni"/>
        <w:spacing w:before="9"/>
        <w:rPr>
          <w:b/>
          <w:sz w:val="29"/>
        </w:rPr>
      </w:pPr>
    </w:p>
    <w:p w:rsidR="0084776E" w:rsidRDefault="0084776E" w:rsidP="0084776E">
      <w:pPr>
        <w:spacing w:before="90" w:line="484" w:lineRule="auto"/>
        <w:ind w:left="193"/>
        <w:rPr>
          <w:sz w:val="24"/>
        </w:rPr>
      </w:pPr>
      <w:r>
        <w:rPr>
          <w:sz w:val="24"/>
          <w:lang w:val="en-US" w:bidi="en-US"/>
        </w:rPr>
        <w:t>Candidate students can submit their applications online at http://truva.baskent.edu.tr/onkayit/lisansustu/ within the quotas announced on the Institute page within the period specified in the academic calendar.</w:t>
      </w:r>
    </w:p>
    <w:p w:rsidR="0084776E" w:rsidRDefault="0084776E" w:rsidP="0084776E">
      <w:pPr>
        <w:pStyle w:val="GvdeMetni"/>
        <w:spacing w:line="266" w:lineRule="exact"/>
        <w:ind w:left="193"/>
      </w:pPr>
      <w:r>
        <w:rPr>
          <w:lang w:val="en-US" w:bidi="en-US"/>
        </w:rPr>
        <w:t>.</w:t>
      </w:r>
    </w:p>
    <w:p w:rsidR="0084776E" w:rsidRDefault="0084776E" w:rsidP="0084776E">
      <w:pPr>
        <w:pStyle w:val="GvdeMetni"/>
        <w:spacing w:before="11"/>
        <w:rPr>
          <w:sz w:val="37"/>
        </w:rPr>
      </w:pPr>
    </w:p>
    <w:p w:rsidR="0084776E" w:rsidRDefault="0084776E" w:rsidP="0084776E">
      <w:pPr>
        <w:pStyle w:val="GvdeMetni"/>
        <w:ind w:left="193"/>
      </w:pPr>
      <w:r>
        <w:rPr>
          <w:lang w:val="en-US" w:bidi="en-US"/>
        </w:rPr>
        <w:t>The documents requested during the application must be uploaded to the system as a single PDF file.</w:t>
      </w:r>
    </w:p>
    <w:p w:rsidR="0084776E" w:rsidRDefault="0084776E" w:rsidP="0084776E">
      <w:pPr>
        <w:pStyle w:val="GvdeMetni"/>
        <w:spacing w:before="9"/>
        <w:rPr>
          <w:sz w:val="37"/>
        </w:rPr>
      </w:pPr>
    </w:p>
    <w:p w:rsidR="0084776E" w:rsidRDefault="0084776E" w:rsidP="0084776E">
      <w:pPr>
        <w:pStyle w:val="GvdeMetni"/>
        <w:spacing w:line="480" w:lineRule="auto"/>
        <w:ind w:left="193" w:right="262"/>
        <w:jc w:val="both"/>
      </w:pPr>
      <w:r>
        <w:rPr>
          <w:lang w:val="en-US" w:bidi="en-US"/>
        </w:rPr>
        <w:t>All candidates who apply in accordance with the application requirements and approve their application by clicking the "Final Approval" button in the online application system will be interviewed by the relevant Department at the interview dates announced on the Institute page.</w:t>
      </w:r>
    </w:p>
    <w:p w:rsidR="0084776E" w:rsidRDefault="0084776E" w:rsidP="0084776E">
      <w:pPr>
        <w:pStyle w:val="GvdeMetni"/>
        <w:spacing w:before="162" w:line="480" w:lineRule="auto"/>
        <w:ind w:left="193" w:right="258"/>
        <w:jc w:val="both"/>
      </w:pPr>
      <w:r>
        <w:rPr>
          <w:lang w:val="en-US" w:bidi="en-US"/>
        </w:rPr>
        <w:t>Applicants who do not comply with the application requirements will not be interviewed even if they complete their application.</w:t>
      </w:r>
    </w:p>
    <w:p w:rsidR="0084776E" w:rsidRDefault="0084776E" w:rsidP="0084776E">
      <w:pPr>
        <w:pStyle w:val="Balk2"/>
        <w:spacing w:before="165"/>
      </w:pPr>
      <w:r>
        <w:rPr>
          <w:u w:val="thick"/>
          <w:lang w:val="en-US" w:bidi="en-US"/>
        </w:rPr>
        <w:t>Interview</w:t>
      </w:r>
    </w:p>
    <w:p w:rsidR="0084776E" w:rsidRDefault="0084776E" w:rsidP="0084776E">
      <w:pPr>
        <w:pStyle w:val="GvdeMetni"/>
        <w:spacing w:before="7"/>
        <w:rPr>
          <w:b/>
          <w:sz w:val="29"/>
        </w:rPr>
      </w:pPr>
    </w:p>
    <w:p w:rsidR="0084776E" w:rsidRDefault="0084776E" w:rsidP="0084776E">
      <w:pPr>
        <w:pStyle w:val="GvdeMetni"/>
        <w:spacing w:before="90" w:line="480" w:lineRule="auto"/>
        <w:ind w:left="193"/>
      </w:pPr>
      <w:r>
        <w:rPr>
          <w:lang w:val="en-US" w:bidi="en-US"/>
        </w:rPr>
        <w:t>Candidate students should have the originals of the documents they uploaded to the online application system and the printout of the application form while attending the interview.</w:t>
      </w:r>
    </w:p>
    <w:p w:rsidR="0084776E" w:rsidRDefault="0084776E" w:rsidP="0084776E">
      <w:pPr>
        <w:pStyle w:val="GvdeMetni"/>
        <w:spacing w:before="161" w:line="480" w:lineRule="auto"/>
        <w:ind w:left="193"/>
      </w:pPr>
      <w:r>
        <w:rPr>
          <w:lang w:val="en-US" w:bidi="en-US"/>
        </w:rPr>
        <w:t>At the end of the interview, the candidate student must receive the originals of the documents again. Responsibility belongs to the candidate student.</w:t>
      </w:r>
    </w:p>
    <w:p w:rsidR="0084776E" w:rsidRDefault="0084776E" w:rsidP="0084776E">
      <w:pPr>
        <w:pStyle w:val="GvdeMetni"/>
        <w:spacing w:before="161" w:line="480" w:lineRule="auto"/>
        <w:ind w:left="193"/>
      </w:pPr>
      <w:r>
        <w:rPr>
          <w:lang w:val="en-US" w:bidi="en-US"/>
        </w:rPr>
        <w:t>The execution of assessment of exams such as written, oral and science exams in the interviews depends on the decision of the Department. For detailed information, please contact the Department.</w:t>
      </w:r>
    </w:p>
    <w:p w:rsidR="0084776E" w:rsidRDefault="0084776E" w:rsidP="0084776E">
      <w:pPr>
        <w:pStyle w:val="GvdeMetni"/>
        <w:spacing w:before="159"/>
        <w:ind w:left="193"/>
      </w:pPr>
      <w:r>
        <w:rPr>
          <w:lang w:val="en-US" w:bidi="en-US"/>
        </w:rPr>
        <w:t>Interview assessment is done as follows:</w:t>
      </w:r>
    </w:p>
    <w:p w:rsidR="0084776E" w:rsidRDefault="0084776E" w:rsidP="0084776E">
      <w:pPr>
        <w:pStyle w:val="GvdeMetni"/>
        <w:rPr>
          <w:sz w:val="20"/>
        </w:rPr>
      </w:pPr>
    </w:p>
    <w:p w:rsidR="0084776E" w:rsidRDefault="0084776E" w:rsidP="0084776E">
      <w:pPr>
        <w:pStyle w:val="GvdeMetni"/>
        <w:spacing w:before="7" w:after="1"/>
        <w:rPr>
          <w:sz w:val="18"/>
        </w:rPr>
      </w:pPr>
    </w:p>
    <w:tbl>
      <w:tblPr>
        <w:tblStyle w:val="TabloKlavuzu"/>
        <w:tblW w:w="0" w:type="auto"/>
        <w:tblLook w:val="04A0" w:firstRow="1" w:lastRow="0" w:firstColumn="1" w:lastColumn="0" w:noHBand="0" w:noVBand="1"/>
      </w:tblPr>
      <w:tblGrid>
        <w:gridCol w:w="2519"/>
        <w:gridCol w:w="2521"/>
        <w:gridCol w:w="2517"/>
        <w:gridCol w:w="2523"/>
      </w:tblGrid>
      <w:tr w:rsidR="0084776E" w:rsidTr="00377B2F">
        <w:trPr>
          <w:trHeight w:val="1497"/>
        </w:trPr>
        <w:tc>
          <w:tcPr>
            <w:tcW w:w="2557" w:type="dxa"/>
          </w:tcPr>
          <w:p w:rsidR="0084776E" w:rsidRPr="00A866CA" w:rsidRDefault="0084776E" w:rsidP="00377B2F">
            <w:r w:rsidRPr="00A866CA">
              <w:t>PhD –Master Programs</w:t>
            </w:r>
          </w:p>
        </w:tc>
        <w:tc>
          <w:tcPr>
            <w:tcW w:w="2557" w:type="dxa"/>
          </w:tcPr>
          <w:p w:rsidR="0084776E" w:rsidRDefault="0084776E" w:rsidP="00377B2F">
            <w:r w:rsidRPr="00A866CA">
              <w:t>50% of ALES and Equivalent Exams</w:t>
            </w:r>
          </w:p>
        </w:tc>
        <w:tc>
          <w:tcPr>
            <w:tcW w:w="2558" w:type="dxa"/>
          </w:tcPr>
          <w:p w:rsidR="0084776E" w:rsidRDefault="0084776E" w:rsidP="00377B2F">
            <w:r w:rsidRPr="00BA4F5C">
              <w:t>20% of Grade Point Average</w:t>
            </w:r>
          </w:p>
        </w:tc>
        <w:tc>
          <w:tcPr>
            <w:tcW w:w="2558" w:type="dxa"/>
          </w:tcPr>
          <w:p w:rsidR="0084776E" w:rsidRDefault="0084776E" w:rsidP="00377B2F">
            <w:r w:rsidRPr="00BA4F5C">
              <w:t>30% of Interview assessment</w:t>
            </w:r>
          </w:p>
        </w:tc>
      </w:tr>
      <w:tr w:rsidR="0084776E" w:rsidTr="00377B2F">
        <w:trPr>
          <w:trHeight w:val="1515"/>
        </w:trPr>
        <w:tc>
          <w:tcPr>
            <w:tcW w:w="2557" w:type="dxa"/>
          </w:tcPr>
          <w:p w:rsidR="0084776E" w:rsidRPr="0085023C" w:rsidRDefault="0084776E" w:rsidP="00377B2F">
            <w:r w:rsidRPr="0085023C">
              <w:t xml:space="preserve">Master Programs Without Thesis </w:t>
            </w:r>
          </w:p>
        </w:tc>
        <w:tc>
          <w:tcPr>
            <w:tcW w:w="2557" w:type="dxa"/>
          </w:tcPr>
          <w:p w:rsidR="0084776E" w:rsidRDefault="0084776E" w:rsidP="00377B2F">
            <w:r>
              <w:t>-</w:t>
            </w:r>
          </w:p>
        </w:tc>
        <w:tc>
          <w:tcPr>
            <w:tcW w:w="2558" w:type="dxa"/>
          </w:tcPr>
          <w:p w:rsidR="0084776E" w:rsidRDefault="0084776E" w:rsidP="00377B2F">
            <w:r w:rsidRPr="0085023C">
              <w:t xml:space="preserve">40% </w:t>
            </w:r>
            <w:r>
              <w:t xml:space="preserve">of </w:t>
            </w:r>
            <w:r w:rsidRPr="0085023C">
              <w:t>Grade Point Average</w:t>
            </w:r>
          </w:p>
        </w:tc>
        <w:tc>
          <w:tcPr>
            <w:tcW w:w="2558" w:type="dxa"/>
          </w:tcPr>
          <w:p w:rsidR="0084776E" w:rsidRDefault="0084776E" w:rsidP="00377B2F">
            <w:r w:rsidRPr="00381D8F">
              <w:t>60% of Interview assessment</w:t>
            </w:r>
          </w:p>
        </w:tc>
      </w:tr>
    </w:tbl>
    <w:p w:rsidR="0084776E" w:rsidRDefault="0084776E" w:rsidP="0084776E">
      <w:pPr>
        <w:sectPr w:rsidR="0084776E">
          <w:pgSz w:w="11930" w:h="16850"/>
          <w:pgMar w:top="1060" w:right="1040" w:bottom="280" w:left="800" w:header="708" w:footer="708" w:gutter="0"/>
          <w:cols w:space="708"/>
        </w:sectPr>
      </w:pPr>
    </w:p>
    <w:p w:rsidR="0084776E" w:rsidRDefault="0084776E" w:rsidP="0084776E">
      <w:pPr>
        <w:pStyle w:val="Balk2"/>
        <w:spacing w:before="68"/>
      </w:pPr>
      <w:r>
        <w:rPr>
          <w:u w:val="thick"/>
          <w:lang w:val="en-US" w:bidi="en-US"/>
        </w:rPr>
        <w:lastRenderedPageBreak/>
        <w:t>Registration Process</w:t>
      </w:r>
    </w:p>
    <w:p w:rsidR="0084776E" w:rsidRDefault="0084776E" w:rsidP="0084776E">
      <w:pPr>
        <w:pStyle w:val="GvdeMetni"/>
        <w:rPr>
          <w:b/>
          <w:sz w:val="20"/>
        </w:rPr>
      </w:pPr>
    </w:p>
    <w:p w:rsidR="0084776E" w:rsidRDefault="0084776E" w:rsidP="0084776E">
      <w:pPr>
        <w:pStyle w:val="GvdeMetni"/>
        <w:spacing w:before="205" w:line="360" w:lineRule="auto"/>
        <w:ind w:left="193"/>
      </w:pPr>
      <w:r>
        <w:rPr>
          <w:lang w:val="en-US" w:bidi="en-US"/>
        </w:rPr>
        <w:t>Students who are qualified to register after the interviews are announced on the Institute website on the date specified in the academic calendar.</w:t>
      </w:r>
    </w:p>
    <w:p w:rsidR="0084776E" w:rsidRDefault="0084776E" w:rsidP="0084776E">
      <w:pPr>
        <w:pStyle w:val="GvdeMetni"/>
        <w:spacing w:before="161" w:line="360" w:lineRule="auto"/>
        <w:ind w:left="193"/>
      </w:pPr>
      <w:r>
        <w:rPr>
          <w:lang w:val="en-US" w:bidi="en-US"/>
        </w:rPr>
        <w:t>Students who are qualified to register go to the registration office with the following documents for final registration on the dates specified in the academic calendar.</w:t>
      </w:r>
    </w:p>
    <w:p w:rsidR="0084776E" w:rsidRDefault="0084776E" w:rsidP="0084776E">
      <w:pPr>
        <w:spacing w:before="163" w:line="360" w:lineRule="auto"/>
        <w:ind w:left="193"/>
        <w:rPr>
          <w:b/>
          <w:sz w:val="24"/>
        </w:rPr>
      </w:pPr>
      <w:r>
        <w:rPr>
          <w:b/>
          <w:color w:val="FF0000"/>
          <w:sz w:val="24"/>
          <w:lang w:val="en-US" w:bidi="en-US"/>
        </w:rPr>
        <w:t>Registration will not be completed if there are missing documents. In the registration process, the candidates themselves or the person given power of attorney at the notary must be present.</w:t>
      </w:r>
    </w:p>
    <w:p w:rsidR="0084776E" w:rsidRDefault="0084776E" w:rsidP="0084776E">
      <w:pPr>
        <w:pStyle w:val="GvdeMetni"/>
        <w:spacing w:before="2"/>
        <w:rPr>
          <w:b/>
          <w:sz w:val="15"/>
        </w:rPr>
      </w:pPr>
    </w:p>
    <w:tbl>
      <w:tblPr>
        <w:tblStyle w:val="TableNormal"/>
        <w:tblW w:w="0" w:type="auto"/>
        <w:tblInd w:w="13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96"/>
        <w:gridCol w:w="4809"/>
        <w:gridCol w:w="4573"/>
      </w:tblGrid>
      <w:tr w:rsidR="0084776E" w:rsidTr="00377B2F">
        <w:trPr>
          <w:trHeight w:val="310"/>
        </w:trPr>
        <w:tc>
          <w:tcPr>
            <w:tcW w:w="9778" w:type="dxa"/>
            <w:gridSpan w:val="3"/>
          </w:tcPr>
          <w:p w:rsidR="0084776E" w:rsidRDefault="0084776E" w:rsidP="00377B2F">
            <w:pPr>
              <w:pStyle w:val="TableParagraph"/>
              <w:spacing w:before="13"/>
              <w:ind w:left="2491" w:right="2482"/>
              <w:jc w:val="center"/>
              <w:rPr>
                <w:b/>
                <w:sz w:val="24"/>
              </w:rPr>
            </w:pPr>
            <w:r>
              <w:rPr>
                <w:b/>
                <w:color w:val="FF0000"/>
                <w:sz w:val="24"/>
                <w:lang w:bidi="en-US"/>
              </w:rPr>
              <w:t>REQUIRED DOCUMENTS FOR FINAL REGISTRATION</w:t>
            </w:r>
          </w:p>
        </w:tc>
      </w:tr>
      <w:tr w:rsidR="0084776E" w:rsidTr="00377B2F">
        <w:trPr>
          <w:trHeight w:val="860"/>
        </w:trPr>
        <w:tc>
          <w:tcPr>
            <w:tcW w:w="396" w:type="dxa"/>
          </w:tcPr>
          <w:p w:rsidR="0084776E" w:rsidRDefault="0084776E" w:rsidP="00377B2F">
            <w:pPr>
              <w:pStyle w:val="TableParagraph"/>
              <w:spacing w:before="1"/>
              <w:rPr>
                <w:b/>
                <w:sz w:val="25"/>
              </w:rPr>
            </w:pPr>
          </w:p>
          <w:p w:rsidR="0084776E" w:rsidRDefault="0084776E" w:rsidP="00377B2F">
            <w:pPr>
              <w:pStyle w:val="TableParagraph"/>
              <w:ind w:right="104"/>
              <w:jc w:val="right"/>
              <w:rPr>
                <w:b/>
                <w:sz w:val="24"/>
              </w:rPr>
            </w:pPr>
            <w:r>
              <w:rPr>
                <w:b/>
                <w:color w:val="333333"/>
                <w:sz w:val="24"/>
                <w:lang w:bidi="en-US"/>
              </w:rPr>
              <w:t>1.</w:t>
            </w:r>
          </w:p>
        </w:tc>
        <w:tc>
          <w:tcPr>
            <w:tcW w:w="4809" w:type="dxa"/>
          </w:tcPr>
          <w:p w:rsidR="0084776E" w:rsidRDefault="0084776E" w:rsidP="00377B2F">
            <w:pPr>
              <w:pStyle w:val="TableParagraph"/>
              <w:spacing w:before="13"/>
              <w:ind w:left="23"/>
              <w:rPr>
                <w:b/>
                <w:sz w:val="24"/>
              </w:rPr>
            </w:pPr>
            <w:r>
              <w:rPr>
                <w:b/>
                <w:color w:val="333333"/>
                <w:sz w:val="24"/>
                <w:lang w:bidi="en-US"/>
              </w:rPr>
              <w:t>Application Form Printout (Photo</w:t>
            </w:r>
          </w:p>
          <w:p w:rsidR="0084776E" w:rsidRDefault="0084776E" w:rsidP="00377B2F">
            <w:pPr>
              <w:pStyle w:val="TableParagraph"/>
              <w:spacing w:line="270" w:lineRule="atLeast"/>
              <w:ind w:left="23" w:right="209"/>
              <w:rPr>
                <w:b/>
                <w:sz w:val="24"/>
              </w:rPr>
            </w:pPr>
            <w:r>
              <w:rPr>
                <w:b/>
                <w:color w:val="333333"/>
                <w:sz w:val="24"/>
                <w:lang w:bidi="en-US"/>
              </w:rPr>
              <w:t>must be affixed) (Updated printout taken after the interview date)</w:t>
            </w:r>
          </w:p>
        </w:tc>
        <w:tc>
          <w:tcPr>
            <w:tcW w:w="4573" w:type="dxa"/>
          </w:tcPr>
          <w:p w:rsidR="0084776E" w:rsidRDefault="0084776E" w:rsidP="00377B2F">
            <w:pPr>
              <w:pStyle w:val="TableParagraph"/>
              <w:spacing w:before="8"/>
              <w:rPr>
                <w:b/>
                <w:sz w:val="24"/>
              </w:rPr>
            </w:pPr>
          </w:p>
          <w:p w:rsidR="0084776E" w:rsidRDefault="0084776E" w:rsidP="00377B2F">
            <w:pPr>
              <w:pStyle w:val="TableParagraph"/>
              <w:ind w:left="83"/>
              <w:rPr>
                <w:b/>
                <w:sz w:val="24"/>
              </w:rPr>
            </w:pPr>
            <w:r>
              <w:rPr>
                <w:b/>
                <w:color w:val="333333"/>
                <w:sz w:val="24"/>
                <w:lang w:bidi="en-US"/>
              </w:rPr>
              <w:t>2 Photos</w:t>
            </w:r>
          </w:p>
        </w:tc>
      </w:tr>
      <w:tr w:rsidR="0084776E" w:rsidTr="00377B2F">
        <w:trPr>
          <w:trHeight w:val="586"/>
        </w:trPr>
        <w:tc>
          <w:tcPr>
            <w:tcW w:w="396" w:type="dxa"/>
          </w:tcPr>
          <w:p w:rsidR="0084776E" w:rsidRDefault="0084776E" w:rsidP="00377B2F">
            <w:pPr>
              <w:pStyle w:val="TableParagraph"/>
              <w:spacing w:before="152"/>
              <w:ind w:right="104"/>
              <w:jc w:val="right"/>
              <w:rPr>
                <w:b/>
                <w:sz w:val="24"/>
              </w:rPr>
            </w:pPr>
            <w:r>
              <w:rPr>
                <w:b/>
                <w:color w:val="333333"/>
                <w:sz w:val="24"/>
                <w:lang w:bidi="en-US"/>
              </w:rPr>
              <w:t>2.</w:t>
            </w:r>
          </w:p>
        </w:tc>
        <w:tc>
          <w:tcPr>
            <w:tcW w:w="4809" w:type="dxa"/>
          </w:tcPr>
          <w:p w:rsidR="0084776E" w:rsidRDefault="0084776E" w:rsidP="00377B2F">
            <w:pPr>
              <w:pStyle w:val="TableParagraph"/>
              <w:spacing w:before="15" w:line="270" w:lineRule="atLeast"/>
              <w:ind w:left="23" w:right="164"/>
              <w:rPr>
                <w:b/>
                <w:sz w:val="24"/>
              </w:rPr>
            </w:pPr>
            <w:r>
              <w:rPr>
                <w:b/>
                <w:color w:val="333333"/>
                <w:sz w:val="24"/>
                <w:lang w:bidi="en-US"/>
              </w:rPr>
              <w:t>Internet printout of ALES Document (original and photocopy of GRE or GMAT document)</w:t>
            </w:r>
          </w:p>
        </w:tc>
        <w:tc>
          <w:tcPr>
            <w:tcW w:w="4573" w:type="dxa"/>
          </w:tcPr>
          <w:p w:rsidR="0084776E" w:rsidRDefault="0084776E" w:rsidP="00377B2F">
            <w:pPr>
              <w:pStyle w:val="TableParagraph"/>
              <w:rPr>
                <w:sz w:val="24"/>
              </w:rPr>
            </w:pPr>
          </w:p>
        </w:tc>
      </w:tr>
      <w:tr w:rsidR="0084776E" w:rsidTr="00377B2F">
        <w:trPr>
          <w:trHeight w:val="3083"/>
        </w:trPr>
        <w:tc>
          <w:tcPr>
            <w:tcW w:w="396" w:type="dxa"/>
          </w:tcPr>
          <w:p w:rsidR="0084776E" w:rsidRDefault="0084776E" w:rsidP="00377B2F">
            <w:pPr>
              <w:pStyle w:val="TableParagraph"/>
              <w:rPr>
                <w:b/>
                <w:sz w:val="26"/>
              </w:rPr>
            </w:pPr>
          </w:p>
          <w:p w:rsidR="0084776E" w:rsidRDefault="0084776E" w:rsidP="00377B2F">
            <w:pPr>
              <w:pStyle w:val="TableParagraph"/>
              <w:rPr>
                <w:b/>
                <w:sz w:val="26"/>
              </w:rPr>
            </w:pPr>
          </w:p>
          <w:p w:rsidR="0084776E" w:rsidRDefault="0084776E" w:rsidP="00377B2F">
            <w:pPr>
              <w:pStyle w:val="TableParagraph"/>
              <w:rPr>
                <w:b/>
                <w:sz w:val="26"/>
              </w:rPr>
            </w:pPr>
          </w:p>
          <w:p w:rsidR="0084776E" w:rsidRDefault="0084776E" w:rsidP="00377B2F">
            <w:pPr>
              <w:pStyle w:val="TableParagraph"/>
              <w:rPr>
                <w:b/>
                <w:sz w:val="26"/>
              </w:rPr>
            </w:pPr>
          </w:p>
          <w:p w:rsidR="0084776E" w:rsidRDefault="0084776E" w:rsidP="00377B2F">
            <w:pPr>
              <w:pStyle w:val="TableParagraph"/>
              <w:spacing w:before="204"/>
              <w:ind w:right="104"/>
              <w:jc w:val="right"/>
              <w:rPr>
                <w:b/>
                <w:sz w:val="24"/>
              </w:rPr>
            </w:pPr>
            <w:r>
              <w:rPr>
                <w:b/>
                <w:color w:val="333333"/>
                <w:sz w:val="24"/>
                <w:lang w:bidi="en-US"/>
              </w:rPr>
              <w:t>3.</w:t>
            </w:r>
          </w:p>
        </w:tc>
        <w:tc>
          <w:tcPr>
            <w:tcW w:w="4809" w:type="dxa"/>
          </w:tcPr>
          <w:p w:rsidR="0084776E" w:rsidRDefault="0084776E" w:rsidP="00377B2F">
            <w:pPr>
              <w:pStyle w:val="TableParagraph"/>
              <w:spacing w:before="13"/>
              <w:ind w:left="23"/>
              <w:rPr>
                <w:b/>
                <w:sz w:val="24"/>
              </w:rPr>
            </w:pPr>
            <w:r>
              <w:rPr>
                <w:b/>
                <w:color w:val="333333"/>
                <w:sz w:val="24"/>
                <w:lang w:bidi="en-US"/>
              </w:rPr>
              <w:t>Original and photocopy of undergraduate diploma</w:t>
            </w:r>
          </w:p>
          <w:p w:rsidR="0084776E" w:rsidRDefault="0084776E" w:rsidP="00377B2F">
            <w:pPr>
              <w:pStyle w:val="TableParagraph"/>
              <w:spacing w:before="4"/>
              <w:rPr>
                <w:b/>
                <w:sz w:val="24"/>
              </w:rPr>
            </w:pPr>
          </w:p>
          <w:p w:rsidR="0084776E" w:rsidRDefault="0084776E" w:rsidP="00377B2F">
            <w:pPr>
              <w:pStyle w:val="TableParagraph"/>
              <w:ind w:left="23" w:right="388"/>
              <w:rPr>
                <w:b/>
                <w:sz w:val="24"/>
              </w:rPr>
            </w:pPr>
            <w:r>
              <w:rPr>
                <w:b/>
                <w:color w:val="333333"/>
                <w:sz w:val="24"/>
                <w:lang w:bidi="en-US"/>
              </w:rPr>
              <w:t>Original and photocopy of undergraduate and graduate diplomas in doctoral applications</w:t>
            </w:r>
          </w:p>
          <w:p w:rsidR="0084776E" w:rsidRDefault="0084776E" w:rsidP="00377B2F">
            <w:pPr>
              <w:pStyle w:val="TableParagraph"/>
              <w:spacing w:before="6"/>
              <w:rPr>
                <w:b/>
                <w:sz w:val="24"/>
              </w:rPr>
            </w:pPr>
          </w:p>
          <w:p w:rsidR="0084776E" w:rsidRDefault="0084776E" w:rsidP="00377B2F">
            <w:pPr>
              <w:pStyle w:val="TableParagraph"/>
              <w:ind w:left="23"/>
              <w:rPr>
                <w:b/>
                <w:sz w:val="24"/>
              </w:rPr>
            </w:pPr>
            <w:r>
              <w:rPr>
                <w:b/>
                <w:color w:val="333333"/>
                <w:sz w:val="24"/>
                <w:lang w:bidi="en-US"/>
              </w:rPr>
              <w:t>For Doctorate and Specialization graduates, Original and photocopy of doctoral diploma, specialization certificate for registration to undergraduate and doctoral programs</w:t>
            </w:r>
          </w:p>
        </w:tc>
        <w:tc>
          <w:tcPr>
            <w:tcW w:w="4573" w:type="dxa"/>
          </w:tcPr>
          <w:p w:rsidR="0084776E" w:rsidRDefault="0084776E" w:rsidP="00377B2F">
            <w:pPr>
              <w:pStyle w:val="TableParagraph"/>
              <w:rPr>
                <w:b/>
                <w:sz w:val="26"/>
              </w:rPr>
            </w:pPr>
          </w:p>
          <w:p w:rsidR="0084776E" w:rsidRDefault="0084776E" w:rsidP="00377B2F">
            <w:pPr>
              <w:pStyle w:val="TableParagraph"/>
              <w:spacing w:before="6"/>
              <w:rPr>
                <w:b/>
                <w:sz w:val="23"/>
              </w:rPr>
            </w:pPr>
          </w:p>
          <w:p w:rsidR="0084776E" w:rsidRDefault="0084776E" w:rsidP="00377B2F">
            <w:pPr>
              <w:pStyle w:val="TableParagraph"/>
              <w:ind w:left="23" w:right="18"/>
              <w:rPr>
                <w:b/>
                <w:sz w:val="24"/>
              </w:rPr>
            </w:pPr>
          </w:p>
          <w:p w:rsidR="0084776E" w:rsidRDefault="0084776E" w:rsidP="00377B2F">
            <w:pPr>
              <w:pStyle w:val="TableParagraph"/>
              <w:spacing w:before="5"/>
              <w:rPr>
                <w:b/>
                <w:sz w:val="24"/>
              </w:rPr>
            </w:pPr>
          </w:p>
          <w:p w:rsidR="0084776E" w:rsidRDefault="0084776E" w:rsidP="00377B2F">
            <w:pPr>
              <w:pStyle w:val="TableParagraph"/>
              <w:ind w:left="23"/>
              <w:rPr>
                <w:b/>
                <w:sz w:val="24"/>
              </w:rPr>
            </w:pPr>
            <w:r>
              <w:rPr>
                <w:b/>
                <w:color w:val="333333"/>
                <w:sz w:val="24"/>
                <w:lang w:bidi="en-US"/>
              </w:rPr>
              <w:t>(In case of graduating from abroad programs, with the Equivalence Certificate obtained from the Council of Higher Education) A graduate certificate obtained from e-</w:t>
            </w:r>
            <w:proofErr w:type="spellStart"/>
            <w:r>
              <w:rPr>
                <w:b/>
                <w:color w:val="333333"/>
                <w:sz w:val="24"/>
                <w:lang w:bidi="en-US"/>
              </w:rPr>
              <w:t>Devlet</w:t>
            </w:r>
            <w:proofErr w:type="spellEnd"/>
            <w:r>
              <w:rPr>
                <w:b/>
                <w:color w:val="333333"/>
                <w:sz w:val="24"/>
                <w:lang w:bidi="en-US"/>
              </w:rPr>
              <w:t xml:space="preserve"> is also valid.</w:t>
            </w:r>
          </w:p>
          <w:p w:rsidR="0084776E" w:rsidRDefault="0084776E" w:rsidP="00377B2F">
            <w:pPr>
              <w:pStyle w:val="TableParagraph"/>
              <w:ind w:left="23" w:right="567"/>
              <w:rPr>
                <w:b/>
                <w:sz w:val="24"/>
              </w:rPr>
            </w:pPr>
          </w:p>
        </w:tc>
      </w:tr>
      <w:tr w:rsidR="0084776E" w:rsidTr="00377B2F">
        <w:trPr>
          <w:trHeight w:val="1969"/>
        </w:trPr>
        <w:tc>
          <w:tcPr>
            <w:tcW w:w="396" w:type="dxa"/>
          </w:tcPr>
          <w:p w:rsidR="0084776E" w:rsidRDefault="0084776E" w:rsidP="00377B2F">
            <w:pPr>
              <w:pStyle w:val="TableParagraph"/>
              <w:rPr>
                <w:b/>
                <w:sz w:val="26"/>
              </w:rPr>
            </w:pPr>
          </w:p>
          <w:p w:rsidR="0084776E" w:rsidRDefault="0084776E" w:rsidP="00377B2F">
            <w:pPr>
              <w:pStyle w:val="TableParagraph"/>
              <w:rPr>
                <w:b/>
                <w:sz w:val="26"/>
              </w:rPr>
            </w:pPr>
          </w:p>
          <w:p w:rsidR="0084776E" w:rsidRDefault="0084776E" w:rsidP="00377B2F">
            <w:pPr>
              <w:pStyle w:val="TableParagraph"/>
              <w:spacing w:before="4"/>
              <w:rPr>
                <w:b/>
                <w:sz w:val="21"/>
              </w:rPr>
            </w:pPr>
          </w:p>
          <w:p w:rsidR="0084776E" w:rsidRDefault="0084776E" w:rsidP="00377B2F">
            <w:pPr>
              <w:pStyle w:val="TableParagraph"/>
              <w:ind w:right="104"/>
              <w:jc w:val="right"/>
              <w:rPr>
                <w:b/>
                <w:sz w:val="24"/>
              </w:rPr>
            </w:pPr>
            <w:r>
              <w:rPr>
                <w:b/>
                <w:color w:val="333333"/>
                <w:sz w:val="24"/>
                <w:lang w:bidi="en-US"/>
              </w:rPr>
              <w:t>4.</w:t>
            </w:r>
          </w:p>
        </w:tc>
        <w:tc>
          <w:tcPr>
            <w:tcW w:w="4809" w:type="dxa"/>
          </w:tcPr>
          <w:p w:rsidR="0084776E" w:rsidRDefault="0084776E" w:rsidP="00377B2F">
            <w:pPr>
              <w:pStyle w:val="TableParagraph"/>
              <w:rPr>
                <w:b/>
                <w:sz w:val="37"/>
              </w:rPr>
            </w:pPr>
          </w:p>
          <w:p w:rsidR="0084776E" w:rsidRDefault="0084776E" w:rsidP="00377B2F">
            <w:pPr>
              <w:pStyle w:val="TableParagraph"/>
              <w:ind w:left="23"/>
              <w:rPr>
                <w:b/>
                <w:sz w:val="24"/>
              </w:rPr>
            </w:pPr>
            <w:r>
              <w:rPr>
                <w:b/>
                <w:color w:val="333333"/>
                <w:sz w:val="24"/>
                <w:lang w:bidi="en-US"/>
              </w:rPr>
              <w:t>transcript (transcript)</w:t>
            </w:r>
          </w:p>
          <w:p w:rsidR="0084776E" w:rsidRDefault="0084776E" w:rsidP="00377B2F">
            <w:pPr>
              <w:pStyle w:val="TableParagraph"/>
              <w:spacing w:before="5"/>
              <w:rPr>
                <w:b/>
                <w:sz w:val="24"/>
              </w:rPr>
            </w:pPr>
          </w:p>
          <w:p w:rsidR="0084776E" w:rsidRDefault="0084776E" w:rsidP="00377B2F">
            <w:pPr>
              <w:pStyle w:val="TableParagraph"/>
              <w:ind w:left="23" w:right="535"/>
              <w:rPr>
                <w:b/>
                <w:sz w:val="24"/>
              </w:rPr>
            </w:pPr>
            <w:r>
              <w:rPr>
                <w:b/>
                <w:color w:val="333333"/>
                <w:sz w:val="24"/>
                <w:lang w:bidi="en-US"/>
              </w:rPr>
              <w:t>Undergraduate and graduate transcripts for doctoral applications</w:t>
            </w:r>
          </w:p>
        </w:tc>
        <w:tc>
          <w:tcPr>
            <w:tcW w:w="4573" w:type="dxa"/>
          </w:tcPr>
          <w:p w:rsidR="0084776E" w:rsidRDefault="0084776E" w:rsidP="00377B2F">
            <w:pPr>
              <w:pStyle w:val="TableParagraph"/>
              <w:spacing w:before="13"/>
              <w:ind w:left="23" w:right="291"/>
              <w:rPr>
                <w:b/>
                <w:sz w:val="24"/>
              </w:rPr>
            </w:pPr>
            <w:r>
              <w:rPr>
                <w:b/>
                <w:color w:val="333333"/>
                <w:sz w:val="24"/>
                <w:lang w:bidi="en-US"/>
              </w:rPr>
              <w:t>(In case of graduating from abroad programs, with the Equivalence Certificate to be obtained from the Council of Higher Education)</w:t>
            </w:r>
          </w:p>
          <w:p w:rsidR="0084776E" w:rsidRDefault="0084776E" w:rsidP="00377B2F">
            <w:pPr>
              <w:pStyle w:val="TableParagraph"/>
              <w:spacing w:before="4"/>
              <w:rPr>
                <w:b/>
                <w:sz w:val="24"/>
              </w:rPr>
            </w:pPr>
          </w:p>
          <w:p w:rsidR="0084776E" w:rsidRDefault="0084776E" w:rsidP="00377B2F">
            <w:pPr>
              <w:pStyle w:val="TableParagraph"/>
              <w:spacing w:before="1" w:line="270" w:lineRule="atLeast"/>
              <w:ind w:left="23" w:right="680"/>
              <w:rPr>
                <w:b/>
                <w:sz w:val="24"/>
              </w:rPr>
            </w:pPr>
            <w:r>
              <w:rPr>
                <w:b/>
                <w:color w:val="333333"/>
                <w:sz w:val="24"/>
                <w:lang w:bidi="en-US"/>
              </w:rPr>
              <w:t>Transcripts from e-</w:t>
            </w:r>
            <w:proofErr w:type="spellStart"/>
            <w:r>
              <w:rPr>
                <w:b/>
                <w:color w:val="333333"/>
                <w:sz w:val="24"/>
                <w:lang w:bidi="en-US"/>
              </w:rPr>
              <w:t>Devlet</w:t>
            </w:r>
            <w:proofErr w:type="spellEnd"/>
            <w:r>
              <w:rPr>
                <w:b/>
                <w:color w:val="333333"/>
                <w:sz w:val="24"/>
                <w:lang w:bidi="en-US"/>
              </w:rPr>
              <w:t xml:space="preserve"> are also valid.</w:t>
            </w:r>
          </w:p>
        </w:tc>
      </w:tr>
      <w:tr w:rsidR="0084776E" w:rsidTr="00377B2F">
        <w:trPr>
          <w:trHeight w:val="862"/>
        </w:trPr>
        <w:tc>
          <w:tcPr>
            <w:tcW w:w="396" w:type="dxa"/>
          </w:tcPr>
          <w:p w:rsidR="0084776E" w:rsidRDefault="0084776E" w:rsidP="00377B2F">
            <w:pPr>
              <w:pStyle w:val="TableParagraph"/>
              <w:spacing w:before="1"/>
              <w:rPr>
                <w:b/>
                <w:sz w:val="25"/>
              </w:rPr>
            </w:pPr>
          </w:p>
          <w:p w:rsidR="0084776E" w:rsidRDefault="0084776E" w:rsidP="00377B2F">
            <w:pPr>
              <w:pStyle w:val="TableParagraph"/>
              <w:ind w:right="104"/>
              <w:jc w:val="right"/>
              <w:rPr>
                <w:b/>
                <w:sz w:val="24"/>
              </w:rPr>
            </w:pPr>
            <w:r>
              <w:rPr>
                <w:b/>
                <w:color w:val="333333"/>
                <w:sz w:val="24"/>
                <w:lang w:bidi="en-US"/>
              </w:rPr>
              <w:t>5.</w:t>
            </w:r>
          </w:p>
        </w:tc>
        <w:tc>
          <w:tcPr>
            <w:tcW w:w="4809" w:type="dxa"/>
          </w:tcPr>
          <w:p w:rsidR="0084776E" w:rsidRDefault="0084776E" w:rsidP="00377B2F">
            <w:pPr>
              <w:pStyle w:val="TableParagraph"/>
              <w:spacing w:before="13"/>
              <w:ind w:left="23" w:right="647"/>
              <w:rPr>
                <w:b/>
                <w:sz w:val="24"/>
              </w:rPr>
            </w:pPr>
            <w:r>
              <w:rPr>
                <w:b/>
                <w:color w:val="333333"/>
                <w:sz w:val="24"/>
                <w:lang w:bidi="en-US"/>
              </w:rPr>
              <w:t>Original and photocopy of Foreign Language Certificate (YDS, Internet print out as YÖKDİL document)</w:t>
            </w:r>
          </w:p>
        </w:tc>
        <w:tc>
          <w:tcPr>
            <w:tcW w:w="4573" w:type="dxa"/>
          </w:tcPr>
          <w:p w:rsidR="0084776E" w:rsidRDefault="0084776E" w:rsidP="00377B2F">
            <w:pPr>
              <w:pStyle w:val="TableParagraph"/>
              <w:rPr>
                <w:sz w:val="24"/>
              </w:rPr>
            </w:pPr>
          </w:p>
        </w:tc>
      </w:tr>
      <w:tr w:rsidR="0084776E" w:rsidTr="00377B2F">
        <w:trPr>
          <w:trHeight w:val="308"/>
        </w:trPr>
        <w:tc>
          <w:tcPr>
            <w:tcW w:w="396" w:type="dxa"/>
          </w:tcPr>
          <w:p w:rsidR="0084776E" w:rsidRDefault="0084776E" w:rsidP="00377B2F">
            <w:pPr>
              <w:pStyle w:val="TableParagraph"/>
              <w:spacing w:before="13" w:line="275" w:lineRule="exact"/>
              <w:ind w:right="104"/>
              <w:jc w:val="right"/>
              <w:rPr>
                <w:b/>
                <w:sz w:val="24"/>
              </w:rPr>
            </w:pPr>
            <w:r>
              <w:rPr>
                <w:b/>
                <w:color w:val="333333"/>
                <w:sz w:val="24"/>
                <w:lang w:bidi="en-US"/>
              </w:rPr>
              <w:t>6.</w:t>
            </w:r>
          </w:p>
        </w:tc>
        <w:tc>
          <w:tcPr>
            <w:tcW w:w="4809" w:type="dxa"/>
          </w:tcPr>
          <w:p w:rsidR="0084776E" w:rsidRDefault="0084776E" w:rsidP="00377B2F">
            <w:pPr>
              <w:pStyle w:val="TableParagraph"/>
              <w:spacing w:before="13" w:line="275" w:lineRule="exact"/>
              <w:ind w:left="23"/>
              <w:rPr>
                <w:b/>
                <w:sz w:val="24"/>
              </w:rPr>
            </w:pPr>
            <w:r>
              <w:rPr>
                <w:b/>
                <w:color w:val="333333"/>
                <w:sz w:val="24"/>
                <w:lang w:bidi="en-US"/>
              </w:rPr>
              <w:t>One photograph (4.5 cm x 6 cm)</w:t>
            </w:r>
          </w:p>
        </w:tc>
        <w:tc>
          <w:tcPr>
            <w:tcW w:w="4573" w:type="dxa"/>
          </w:tcPr>
          <w:p w:rsidR="0084776E" w:rsidRDefault="0084776E" w:rsidP="00377B2F">
            <w:pPr>
              <w:pStyle w:val="TableParagraph"/>
            </w:pPr>
          </w:p>
        </w:tc>
      </w:tr>
      <w:tr w:rsidR="0084776E" w:rsidTr="00377B2F">
        <w:trPr>
          <w:trHeight w:val="310"/>
        </w:trPr>
        <w:tc>
          <w:tcPr>
            <w:tcW w:w="396" w:type="dxa"/>
          </w:tcPr>
          <w:p w:rsidR="0084776E" w:rsidRDefault="0084776E" w:rsidP="00377B2F">
            <w:pPr>
              <w:pStyle w:val="TableParagraph"/>
              <w:spacing w:before="15" w:line="275" w:lineRule="exact"/>
              <w:ind w:right="104"/>
              <w:jc w:val="right"/>
              <w:rPr>
                <w:b/>
                <w:sz w:val="24"/>
              </w:rPr>
            </w:pPr>
            <w:r>
              <w:rPr>
                <w:b/>
                <w:color w:val="333333"/>
                <w:sz w:val="24"/>
                <w:lang w:bidi="en-US"/>
              </w:rPr>
              <w:t>7.</w:t>
            </w:r>
          </w:p>
        </w:tc>
        <w:tc>
          <w:tcPr>
            <w:tcW w:w="4809" w:type="dxa"/>
          </w:tcPr>
          <w:p w:rsidR="0084776E" w:rsidRDefault="0084776E" w:rsidP="00377B2F">
            <w:pPr>
              <w:pStyle w:val="TableParagraph"/>
              <w:spacing w:before="15" w:line="275" w:lineRule="exact"/>
              <w:ind w:left="23"/>
              <w:rPr>
                <w:b/>
                <w:sz w:val="24"/>
              </w:rPr>
            </w:pPr>
            <w:r>
              <w:rPr>
                <w:b/>
                <w:color w:val="333333"/>
                <w:sz w:val="24"/>
                <w:lang w:bidi="en-US"/>
              </w:rPr>
              <w:t>Copy of Identity Card (back-front)</w:t>
            </w:r>
          </w:p>
        </w:tc>
        <w:tc>
          <w:tcPr>
            <w:tcW w:w="4573" w:type="dxa"/>
          </w:tcPr>
          <w:p w:rsidR="0084776E" w:rsidRDefault="0084776E" w:rsidP="00377B2F">
            <w:pPr>
              <w:pStyle w:val="TableParagraph"/>
            </w:pPr>
          </w:p>
        </w:tc>
      </w:tr>
      <w:tr w:rsidR="0084776E" w:rsidTr="00377B2F">
        <w:trPr>
          <w:trHeight w:val="587"/>
        </w:trPr>
        <w:tc>
          <w:tcPr>
            <w:tcW w:w="396" w:type="dxa"/>
          </w:tcPr>
          <w:p w:rsidR="0084776E" w:rsidRDefault="0084776E" w:rsidP="00377B2F">
            <w:pPr>
              <w:pStyle w:val="TableParagraph"/>
              <w:spacing w:before="152"/>
              <w:ind w:right="104"/>
              <w:jc w:val="right"/>
              <w:rPr>
                <w:b/>
                <w:sz w:val="24"/>
              </w:rPr>
            </w:pPr>
            <w:r>
              <w:rPr>
                <w:b/>
                <w:color w:val="333333"/>
                <w:sz w:val="24"/>
                <w:lang w:bidi="en-US"/>
              </w:rPr>
              <w:t>8.</w:t>
            </w:r>
          </w:p>
        </w:tc>
        <w:tc>
          <w:tcPr>
            <w:tcW w:w="4809" w:type="dxa"/>
          </w:tcPr>
          <w:p w:rsidR="0084776E" w:rsidRDefault="0084776E" w:rsidP="00377B2F">
            <w:pPr>
              <w:pStyle w:val="TableParagraph"/>
              <w:spacing w:before="13"/>
              <w:ind w:left="23" w:right="888"/>
              <w:rPr>
                <w:b/>
                <w:sz w:val="24"/>
              </w:rPr>
            </w:pPr>
            <w:r>
              <w:rPr>
                <w:b/>
                <w:color w:val="333333"/>
                <w:sz w:val="24"/>
                <w:lang w:bidi="en-US"/>
              </w:rPr>
              <w:t>Signed document proving that they are working for those working in contracted institutions</w:t>
            </w:r>
          </w:p>
        </w:tc>
        <w:tc>
          <w:tcPr>
            <w:tcW w:w="4573" w:type="dxa"/>
          </w:tcPr>
          <w:p w:rsidR="0084776E" w:rsidRDefault="0084776E" w:rsidP="00377B2F">
            <w:pPr>
              <w:pStyle w:val="TableParagraph"/>
              <w:rPr>
                <w:sz w:val="24"/>
              </w:rPr>
            </w:pPr>
          </w:p>
        </w:tc>
      </w:tr>
      <w:tr w:rsidR="0084776E" w:rsidTr="00377B2F">
        <w:trPr>
          <w:trHeight w:val="584"/>
        </w:trPr>
        <w:tc>
          <w:tcPr>
            <w:tcW w:w="9778" w:type="dxa"/>
            <w:gridSpan w:val="3"/>
          </w:tcPr>
          <w:p w:rsidR="0084776E" w:rsidRDefault="0084776E" w:rsidP="00377B2F">
            <w:pPr>
              <w:pStyle w:val="TableParagraph"/>
              <w:spacing w:before="12" w:line="270" w:lineRule="atLeast"/>
              <w:ind w:left="21" w:right="466"/>
              <w:rPr>
                <w:b/>
                <w:sz w:val="24"/>
              </w:rPr>
            </w:pPr>
            <w:r>
              <w:rPr>
                <w:b/>
                <w:color w:val="333333"/>
                <w:sz w:val="24"/>
                <w:lang w:bidi="en-US"/>
              </w:rPr>
              <w:lastRenderedPageBreak/>
              <w:t>*Documents received via e-</w:t>
            </w:r>
            <w:proofErr w:type="spellStart"/>
            <w:r>
              <w:rPr>
                <w:b/>
                <w:color w:val="333333"/>
                <w:sz w:val="24"/>
                <w:lang w:bidi="en-US"/>
              </w:rPr>
              <w:t>devlet</w:t>
            </w:r>
            <w:proofErr w:type="spellEnd"/>
            <w:r>
              <w:rPr>
                <w:b/>
                <w:color w:val="333333"/>
                <w:sz w:val="24"/>
                <w:lang w:bidi="en-US"/>
              </w:rPr>
              <w:t xml:space="preserve"> will also be accepted in accordance with the letter of the Council of Higher Education dated 12.07.2018 and numbered 75850160-104.01.01.01E.53785.</w:t>
            </w:r>
          </w:p>
        </w:tc>
      </w:tr>
    </w:tbl>
    <w:p w:rsidR="0084776E" w:rsidRDefault="0084776E" w:rsidP="0084776E">
      <w:pPr>
        <w:pStyle w:val="GvdeMetni"/>
        <w:rPr>
          <w:b/>
          <w:sz w:val="26"/>
        </w:rPr>
      </w:pPr>
    </w:p>
    <w:p w:rsidR="0084776E" w:rsidRDefault="0084776E" w:rsidP="0084776E">
      <w:pPr>
        <w:pStyle w:val="GvdeMetni"/>
        <w:rPr>
          <w:b/>
          <w:sz w:val="26"/>
        </w:rPr>
      </w:pPr>
    </w:p>
    <w:p w:rsidR="0084776E" w:rsidRDefault="0084776E" w:rsidP="0084776E">
      <w:pPr>
        <w:pStyle w:val="Balk1"/>
        <w:spacing w:before="158"/>
      </w:pPr>
    </w:p>
    <w:p w:rsidR="0084776E" w:rsidRPr="009D5925" w:rsidRDefault="009D5925" w:rsidP="0084776E">
      <w:pPr>
        <w:pStyle w:val="Balk1"/>
        <w:spacing w:before="158"/>
        <w:rPr>
          <w:rStyle w:val="Kpr"/>
        </w:rPr>
      </w:pPr>
      <w:r>
        <w:rPr>
          <w:color w:val="0000FF"/>
          <w:u w:val="thick" w:color="0000FF"/>
          <w:lang w:val="en-US" w:bidi="en-US"/>
        </w:rPr>
        <w:fldChar w:fldCharType="begin"/>
      </w:r>
      <w:r>
        <w:rPr>
          <w:color w:val="0000FF"/>
          <w:u w:val="thick" w:color="0000FF"/>
          <w:lang w:val="en-US" w:bidi="en-US"/>
        </w:rPr>
        <w:instrText xml:space="preserve"> HYPERLINK "http://sabe.baskent.edu.tr/kw/upload/919/dosyalar/surecsemalari2021-ing/tamzamanliogrencibasvuru-ing.pdf" </w:instrText>
      </w:r>
      <w:r>
        <w:rPr>
          <w:color w:val="0000FF"/>
          <w:u w:val="thick" w:color="0000FF"/>
          <w:lang w:val="en-US" w:bidi="en-US"/>
        </w:rPr>
      </w:r>
      <w:r>
        <w:rPr>
          <w:color w:val="0000FF"/>
          <w:u w:val="thick" w:color="0000FF"/>
          <w:lang w:val="en-US" w:bidi="en-US"/>
        </w:rPr>
        <w:fldChar w:fldCharType="separate"/>
      </w:r>
      <w:r w:rsidR="0084776E" w:rsidRPr="009D5925">
        <w:rPr>
          <w:rStyle w:val="Kpr"/>
          <w:u w:color="0000FF"/>
          <w:lang w:val="en-US" w:bidi="en-US"/>
        </w:rPr>
        <w:t>Full-Time Student Application – Registration Process Chart</w:t>
      </w:r>
    </w:p>
    <w:p w:rsidR="00F83549" w:rsidRPr="0084776E" w:rsidRDefault="009D5925" w:rsidP="0084776E">
      <w:r>
        <w:rPr>
          <w:b/>
          <w:bCs/>
          <w:color w:val="0000FF"/>
          <w:sz w:val="28"/>
          <w:szCs w:val="28"/>
          <w:u w:val="thick" w:color="0000FF"/>
          <w:lang w:val="en-US" w:bidi="en-US"/>
        </w:rPr>
        <w:fldChar w:fldCharType="end"/>
      </w:r>
      <w:bookmarkStart w:id="0" w:name="_GoBack"/>
      <w:bookmarkEnd w:id="0"/>
    </w:p>
    <w:sectPr w:rsidR="00F83549" w:rsidRPr="008477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65D"/>
    <w:rsid w:val="0084776E"/>
    <w:rsid w:val="008A465D"/>
    <w:rsid w:val="009D5925"/>
    <w:rsid w:val="00F835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E4B17-66A5-4C09-8433-9992DE8C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76E"/>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84776E"/>
    <w:pPr>
      <w:ind w:left="1818" w:right="1881"/>
      <w:jc w:val="center"/>
      <w:outlineLvl w:val="0"/>
    </w:pPr>
    <w:rPr>
      <w:b/>
      <w:bCs/>
      <w:sz w:val="28"/>
      <w:szCs w:val="28"/>
      <w:u w:val="single" w:color="000000"/>
    </w:rPr>
  </w:style>
  <w:style w:type="paragraph" w:styleId="Balk2">
    <w:name w:val="heading 2"/>
    <w:basedOn w:val="Normal"/>
    <w:link w:val="Balk2Char"/>
    <w:uiPriority w:val="9"/>
    <w:unhideWhenUsed/>
    <w:qFormat/>
    <w:rsid w:val="0084776E"/>
    <w:pPr>
      <w:spacing w:before="75"/>
      <w:ind w:left="193"/>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4776E"/>
    <w:rPr>
      <w:rFonts w:ascii="Times New Roman" w:eastAsia="Times New Roman" w:hAnsi="Times New Roman" w:cs="Times New Roman"/>
      <w:b/>
      <w:bCs/>
      <w:sz w:val="28"/>
      <w:szCs w:val="28"/>
      <w:u w:val="single" w:color="000000"/>
    </w:rPr>
  </w:style>
  <w:style w:type="character" w:customStyle="1" w:styleId="Balk2Char">
    <w:name w:val="Başlık 2 Char"/>
    <w:basedOn w:val="VarsaylanParagrafYazTipi"/>
    <w:link w:val="Balk2"/>
    <w:uiPriority w:val="9"/>
    <w:rsid w:val="0084776E"/>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8477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84776E"/>
    <w:rPr>
      <w:sz w:val="24"/>
      <w:szCs w:val="24"/>
    </w:rPr>
  </w:style>
  <w:style w:type="character" w:customStyle="1" w:styleId="GvdeMetniChar">
    <w:name w:val="Gövde Metni Char"/>
    <w:basedOn w:val="VarsaylanParagrafYazTipi"/>
    <w:link w:val="GvdeMetni"/>
    <w:uiPriority w:val="1"/>
    <w:rsid w:val="0084776E"/>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84776E"/>
  </w:style>
  <w:style w:type="table" w:styleId="TabloKlavuzu">
    <w:name w:val="Table Grid"/>
    <w:basedOn w:val="NormalTablo"/>
    <w:uiPriority w:val="39"/>
    <w:rsid w:val="0084776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D59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912</Words>
  <Characters>5205</Characters>
  <Application>Microsoft Office Word</Application>
  <DocSecurity>0</DocSecurity>
  <Lines>43</Lines>
  <Paragraphs>12</Paragraphs>
  <ScaleCrop>false</ScaleCrop>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2022-03-15T11:37:00Z</dcterms:created>
  <dcterms:modified xsi:type="dcterms:W3CDTF">2022-03-15T11:41:00Z</dcterms:modified>
</cp:coreProperties>
</file>